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FangSong_GB2312" w:cs="Times New Roman"/>
          <w:color w:val="auto"/>
          <w:sz w:val="36"/>
          <w:szCs w:val="36"/>
          <w:lang w:val="en-US" w:eastAsia="zh-CN"/>
        </w:rPr>
      </w:pPr>
    </w:p>
    <w:p>
      <w:pPr>
        <w:rPr>
          <w:rFonts w:hint="default" w:ascii="Times New Roman" w:hAnsi="Times New Roman" w:eastAsia="FangSong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68775750"/>
      <w:r>
        <w:rPr>
          <w:rFonts w:hint="default" w:ascii="Times New Roman" w:hAnsi="Times New Roman" w:eastAsia="方正小标宋_GBK" w:cs="Times New Roman"/>
          <w:bCs/>
          <w:color w:val="auto"/>
          <w:sz w:val="72"/>
          <w:szCs w:val="72"/>
        </w:rPr>
        <w:t>建设项目环境影响报告表</w:t>
      </w:r>
      <w:bookmarkEnd w:id="0"/>
    </w:p>
    <w:p>
      <w:pPr>
        <w:adjustRightInd w:val="0"/>
        <w:snapToGrid w:val="0"/>
        <w:spacing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rPr>
          <w:rFonts w:hint="default" w:ascii="Times New Roman" w:hAnsi="Times New Roman" w:cs="Times New Roman"/>
          <w:color w:val="auto"/>
          <w:kern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360" w:lineRule="auto"/>
        <w:rPr>
          <w:rFonts w:hint="default" w:ascii="Times New Roman" w:hAnsi="Times New Roman" w:cs="Times New Roman" w:eastAsiaTheme="minorEastAsia"/>
          <w:color w:val="auto"/>
          <w:sz w:val="36"/>
          <w:szCs w:val="36"/>
          <w:u w:val="single"/>
        </w:rPr>
      </w:pPr>
      <w:bookmarkStart w:id="1" w:name="_Hlk57884087"/>
      <w:r>
        <w:rPr>
          <w:rFonts w:hint="default" w:ascii="Times New Roman" w:hAnsi="Times New Roman" w:cs="Times New Roman" w:eastAsiaTheme="minorEastAsia"/>
          <w:color w:val="auto"/>
          <w:spacing w:val="-20"/>
          <w:sz w:val="36"/>
          <w:szCs w:val="36"/>
        </w:rPr>
        <w:t>项目名称：</w:t>
      </w:r>
      <w:r>
        <w:rPr>
          <w:rFonts w:hint="eastAsia" w:cs="Times New Roman" w:eastAsiaTheme="minorEastAsia"/>
          <w:color w:val="auto"/>
          <w:sz w:val="36"/>
          <w:szCs w:val="36"/>
          <w:u w:val="single"/>
          <w:lang w:eastAsia="zh-CN"/>
        </w:rPr>
        <w:t>黑龙江昊瑞食品有限公司</w:t>
      </w:r>
      <w:r>
        <w:rPr>
          <w:rFonts w:hint="default" w:ascii="Times New Roman" w:hAnsi="Times New Roman" w:cs="Times New Roman" w:eastAsiaTheme="minorEastAsia"/>
          <w:color w:val="auto"/>
          <w:sz w:val="36"/>
          <w:szCs w:val="36"/>
          <w:u w:val="single"/>
          <w:lang w:eastAsia="zh-CN"/>
        </w:rPr>
        <w:t>建设项目</w:t>
      </w:r>
      <w:r>
        <w:rPr>
          <w:rFonts w:hint="default" w:ascii="Times New Roman" w:hAnsi="Times New Roman" w:cs="Times New Roman" w:eastAsiaTheme="minorEastAsia"/>
          <w:color w:val="auto"/>
          <w:sz w:val="36"/>
          <w:szCs w:val="36"/>
          <w:u w:val="single"/>
        </w:rPr>
        <w:t xml:space="preserve">  </w:t>
      </w:r>
    </w:p>
    <w:p>
      <w:pPr>
        <w:adjustRightInd w:val="0"/>
        <w:snapToGrid w:val="0"/>
        <w:spacing w:line="360" w:lineRule="auto"/>
        <w:rPr>
          <w:rFonts w:hint="default" w:ascii="Times New Roman" w:hAnsi="Times New Roman" w:cs="Times New Roman" w:eastAsiaTheme="minorEastAsia"/>
          <w:color w:val="auto"/>
          <w:spacing w:val="-20"/>
          <w:sz w:val="36"/>
          <w:szCs w:val="36"/>
          <w:u w:val="single"/>
          <w:lang w:val="en-US" w:eastAsia="zh-CN"/>
        </w:rPr>
      </w:pPr>
      <w:r>
        <w:rPr>
          <w:rFonts w:hint="default" w:ascii="Times New Roman" w:hAnsi="Times New Roman" w:cs="Times New Roman" w:eastAsiaTheme="minorEastAsia"/>
          <w:color w:val="auto"/>
          <w:spacing w:val="-20"/>
          <w:sz w:val="36"/>
          <w:szCs w:val="36"/>
        </w:rPr>
        <w:t>单位（盖章）：</w:t>
      </w:r>
      <w:r>
        <w:rPr>
          <w:rFonts w:hint="eastAsia" w:cs="Times New Roman" w:eastAsiaTheme="minorEastAsia"/>
          <w:color w:val="auto"/>
          <w:sz w:val="36"/>
          <w:szCs w:val="36"/>
          <w:u w:val="single"/>
          <w:lang w:eastAsia="zh-CN"/>
        </w:rPr>
        <w:t>黑龙江昊瑞食品有限公司</w:t>
      </w:r>
      <w:r>
        <w:rPr>
          <w:rFonts w:hint="default" w:ascii="Times New Roman" w:hAnsi="Times New Roman" w:cs="Times New Roman" w:eastAsiaTheme="minorEastAsia"/>
          <w:color w:val="auto"/>
          <w:sz w:val="36"/>
          <w:szCs w:val="36"/>
          <w:u w:val="single"/>
        </w:rPr>
        <w:t xml:space="preserve">    </w:t>
      </w:r>
      <w:r>
        <w:rPr>
          <w:rFonts w:hint="default" w:ascii="Times New Roman" w:hAnsi="Times New Roman" w:cs="Times New Roman" w:eastAsiaTheme="minorEastAsia"/>
          <w:color w:val="auto"/>
          <w:sz w:val="36"/>
          <w:szCs w:val="36"/>
          <w:u w:val="single"/>
          <w:lang w:val="en-US" w:eastAsia="zh-CN"/>
        </w:rPr>
        <w:t xml:space="preserve"> </w:t>
      </w:r>
    </w:p>
    <w:p>
      <w:pPr>
        <w:adjustRightInd w:val="0"/>
        <w:snapToGrid w:val="0"/>
        <w:spacing w:line="360" w:lineRule="auto"/>
        <w:rPr>
          <w:rFonts w:hint="default" w:ascii="Times New Roman" w:hAnsi="Times New Roman" w:cs="Times New Roman" w:eastAsiaTheme="majorEastAsia"/>
          <w:color w:val="auto"/>
          <w:sz w:val="36"/>
          <w:szCs w:val="36"/>
          <w:u w:val="single"/>
        </w:rPr>
      </w:pPr>
      <w:r>
        <w:rPr>
          <w:rFonts w:hint="default" w:ascii="Times New Roman" w:hAnsi="Times New Roman" w:cs="Times New Roman" w:eastAsiaTheme="majorEastAsia"/>
          <w:color w:val="auto"/>
          <w:sz w:val="36"/>
          <w:szCs w:val="36"/>
        </w:rPr>
        <w:t>编制日期：</w:t>
      </w:r>
      <w:r>
        <w:rPr>
          <w:rFonts w:hint="default" w:ascii="Times New Roman" w:hAnsi="Times New Roman" w:cs="Times New Roman" w:eastAsiaTheme="majorEastAsia"/>
          <w:color w:val="auto"/>
          <w:sz w:val="36"/>
          <w:szCs w:val="36"/>
          <w:u w:val="single"/>
        </w:rPr>
        <w:t xml:space="preserve"> 202</w:t>
      </w:r>
      <w:r>
        <w:rPr>
          <w:rFonts w:hint="default" w:ascii="Times New Roman" w:hAnsi="Times New Roman" w:cs="Times New Roman" w:eastAsiaTheme="majorEastAsia"/>
          <w:color w:val="auto"/>
          <w:sz w:val="36"/>
          <w:szCs w:val="36"/>
          <w:u w:val="single"/>
          <w:lang w:val="en-US" w:eastAsia="zh-CN"/>
        </w:rPr>
        <w:t>3</w:t>
      </w:r>
      <w:r>
        <w:rPr>
          <w:rFonts w:hint="default" w:ascii="Times New Roman" w:hAnsi="Times New Roman" w:cs="Times New Roman" w:eastAsiaTheme="majorEastAsia"/>
          <w:color w:val="auto"/>
          <w:sz w:val="36"/>
          <w:szCs w:val="36"/>
          <w:u w:val="single"/>
        </w:rPr>
        <w:t>年</w:t>
      </w:r>
      <w:r>
        <w:rPr>
          <w:rFonts w:hint="default" w:ascii="Times New Roman" w:hAnsi="Times New Roman" w:cs="Times New Roman" w:eastAsiaTheme="majorEastAsia"/>
          <w:color w:val="auto"/>
          <w:sz w:val="36"/>
          <w:szCs w:val="36"/>
          <w:u w:val="single"/>
          <w:lang w:val="en-US" w:eastAsia="zh-CN"/>
        </w:rPr>
        <w:t>8</w:t>
      </w:r>
      <w:r>
        <w:rPr>
          <w:rFonts w:hint="default" w:ascii="Times New Roman" w:hAnsi="Times New Roman" w:cs="Times New Roman" w:eastAsiaTheme="majorEastAsia"/>
          <w:color w:val="auto"/>
          <w:sz w:val="36"/>
          <w:szCs w:val="36"/>
          <w:u w:val="single"/>
        </w:rPr>
        <w:t>月</w:t>
      </w:r>
    </w:p>
    <w:p>
      <w:pPr>
        <w:adjustRightInd w:val="0"/>
        <w:snapToGrid w:val="0"/>
        <w:spacing w:line="288" w:lineRule="auto"/>
        <w:rPr>
          <w:rFonts w:hint="default" w:ascii="Times New Roman" w:hAnsi="Times New Roman" w:eastAsia="FangSong_GB2312" w:cs="Times New Roman"/>
          <w:color w:val="auto"/>
          <w:sz w:val="36"/>
          <w:szCs w:val="36"/>
        </w:rPr>
      </w:pPr>
    </w:p>
    <w:bookmarkEnd w:id="1"/>
    <w:p>
      <w:pPr>
        <w:adjustRightInd w:val="0"/>
        <w:snapToGrid w:val="0"/>
        <w:spacing w:line="288" w:lineRule="auto"/>
        <w:jc w:val="center"/>
        <w:rPr>
          <w:rFonts w:hint="default" w:ascii="Times New Roman" w:hAnsi="Times New Roman" w:cs="Times New Roman" w:eastAsiaTheme="minorEastAsia"/>
          <w:color w:val="auto"/>
          <w:sz w:val="36"/>
          <w:szCs w:val="36"/>
        </w:rPr>
      </w:pPr>
    </w:p>
    <w:p>
      <w:pPr>
        <w:adjustRightInd w:val="0"/>
        <w:snapToGrid w:val="0"/>
        <w:spacing w:line="288" w:lineRule="auto"/>
        <w:jc w:val="center"/>
        <w:rPr>
          <w:rFonts w:hint="default" w:ascii="Times New Roman" w:hAnsi="Times New Roman" w:cs="Times New Roman" w:eastAsiaTheme="minorEastAsia"/>
          <w:color w:val="auto"/>
          <w:sz w:val="36"/>
          <w:szCs w:val="36"/>
        </w:rPr>
      </w:pPr>
    </w:p>
    <w:p>
      <w:pPr>
        <w:adjustRightInd w:val="0"/>
        <w:snapToGrid w:val="0"/>
        <w:spacing w:line="288" w:lineRule="auto"/>
        <w:jc w:val="center"/>
        <w:rPr>
          <w:rFonts w:hint="default" w:ascii="Times New Roman" w:hAnsi="Times New Roman" w:eastAsia="FangSong_GB2312" w:cs="Times New Roman"/>
          <w:color w:val="auto"/>
          <w:sz w:val="36"/>
          <w:szCs w:val="36"/>
        </w:rPr>
      </w:pPr>
    </w:p>
    <w:p>
      <w:pPr>
        <w:adjustRightInd w:val="0"/>
        <w:snapToGrid w:val="0"/>
        <w:spacing w:line="288" w:lineRule="auto"/>
        <w:jc w:val="center"/>
        <w:rPr>
          <w:rFonts w:hint="default" w:ascii="Times New Roman" w:hAnsi="Times New Roman"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cs="Times New Roman"/>
          <w:color w:val="auto"/>
          <w:sz w:val="36"/>
          <w:szCs w:val="36"/>
        </w:rPr>
        <w:t>中华人民共和国生态环境部制</w:t>
      </w:r>
    </w:p>
    <w:p>
      <w:pPr>
        <w:pStyle w:val="39"/>
        <w:rPr>
          <w:rFonts w:hint="default" w:ascii="Times New Roman" w:hAnsi="Times New Roman" w:eastAsia="宋体" w:cs="Times New Roman"/>
          <w:color w:val="auto"/>
          <w:lang w:eastAsia="zh-CN"/>
        </w:rPr>
      </w:pPr>
    </w:p>
    <w:p>
      <w:pPr>
        <w:pStyle w:val="27"/>
        <w:spacing w:before="0" w:beforeAutospacing="0" w:after="0" w:afterAutospacing="0" w:line="480" w:lineRule="auto"/>
        <w:contextualSpacing/>
        <w:jc w:val="center"/>
        <w:outlineLvl w:val="9"/>
        <w:rPr>
          <w:rFonts w:hint="default" w:ascii="Times New Roman" w:hAnsi="Times New Roman" w:cs="Times New Roman"/>
          <w:snapToGrid w:val="0"/>
          <w:color w:val="auto"/>
          <w:szCs w:val="24"/>
        </w:rPr>
      </w:pPr>
      <w:bookmarkStart w:id="2" w:name="_Toc68775751"/>
      <w:r>
        <w:rPr>
          <w:rFonts w:hint="default" w:ascii="Times New Roman" w:hAnsi="Times New Roman" w:eastAsia="黑体" w:cs="Times New Roman"/>
          <w:snapToGrid w:val="0"/>
          <w:color w:val="auto"/>
          <w:sz w:val="30"/>
          <w:szCs w:val="30"/>
          <w:highlight w:val="none"/>
        </w:rPr>
        <w:t>目   录</w:t>
      </w:r>
      <w:bookmarkEnd w:id="2"/>
      <w:r>
        <w:rPr>
          <w:rFonts w:hint="default" w:ascii="Times New Roman" w:hAnsi="Times New Roman" w:cs="Times New Roman"/>
          <w:snapToGrid w:val="0"/>
          <w:color w:val="auto"/>
          <w:kern w:val="2"/>
          <w:szCs w:val="24"/>
        </w:rPr>
        <w:fldChar w:fldCharType="begin"/>
      </w:r>
      <w:r>
        <w:rPr>
          <w:rFonts w:hint="default" w:ascii="Times New Roman" w:hAnsi="Times New Roman" w:cs="Times New Roman"/>
          <w:snapToGrid w:val="0"/>
          <w:color w:val="auto"/>
          <w:kern w:val="2"/>
          <w:szCs w:val="24"/>
        </w:rPr>
        <w:instrText xml:space="preserve"> TOC \o "1-3" \h \z \u </w:instrText>
      </w:r>
      <w:r>
        <w:rPr>
          <w:rFonts w:hint="default" w:ascii="Times New Roman" w:hAnsi="Times New Roman" w:cs="Times New Roman"/>
          <w:snapToGrid w:val="0"/>
          <w:color w:val="auto"/>
          <w:kern w:val="2"/>
          <w:szCs w:val="24"/>
        </w:rPr>
        <w:fldChar w:fldCharType="separate"/>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"_Toc68775752"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一、建设项目基本情况</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_Toc68775752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1</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"_Toc68775753"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二、建设项目工程分析</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_Toc68775753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10</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"_Toc68775754"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三、区域环境质量现状、环境保护目标及评价标准</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_Toc68775754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21</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"_Toc68775755"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四、主要环境影响和保护措施</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_Toc68775755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31</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"_Toc68775756"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五、环境保护措施监督检查清单</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_Toc68775756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40</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"_Toc68775757"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六、结论</w:t>
      </w:r>
      <w:bookmarkStart w:id="29" w:name="_GoBack"/>
      <w:bookmarkEnd w:id="29"/>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_Toc68775757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53</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2"/>
        <w:tabs>
          <w:tab w:val="right" w:leader="dot" w:pos="8834"/>
        </w:tabs>
        <w:spacing w:line="480" w:lineRule="auto"/>
        <w:contextualSpacing/>
        <w:rPr>
          <w:rFonts w:hint="default" w:ascii="Times New Roman" w:hAnsi="Times New Roman" w:cs="Times New Roman"/>
          <w:b/>
          <w:bCs/>
          <w:color w:val="auto"/>
          <w:sz w:val="24"/>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"_Toc68775758" </w:instrText>
      </w:r>
      <w:r>
        <w:rPr>
          <w:rFonts w:hint="default" w:ascii="Times New Roman" w:hAnsi="Times New Roman" w:cs="Times New Roman"/>
          <w:b/>
          <w:bCs/>
          <w:color w:val="auto"/>
        </w:rPr>
        <w:fldChar w:fldCharType="separate"/>
      </w:r>
      <w:r>
        <w:rPr>
          <w:rStyle w:val="36"/>
          <w:rFonts w:hint="default" w:ascii="Times New Roman" w:hAnsi="Times New Roman" w:cs="Times New Roman"/>
          <w:b/>
          <w:bCs/>
          <w:snapToGrid w:val="0"/>
          <w:color w:val="auto"/>
          <w:sz w:val="24"/>
        </w:rPr>
        <w:t>附表</w:t>
      </w:r>
      <w:r>
        <w:rPr>
          <w:rFonts w:hint="default" w:ascii="Times New Roman" w:hAnsi="Times New Roman" w:cs="Times New Roman"/>
          <w:b/>
          <w:bCs/>
          <w:color w:val="auto"/>
          <w:sz w:val="24"/>
        </w:rPr>
        <w:tab/>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PAGEREF _Toc68775758 \h </w:instrText>
      </w:r>
      <w:r>
        <w:rPr>
          <w:rFonts w:hint="default" w:ascii="Times New Roman" w:hAnsi="Times New Roman" w:cs="Times New Roman"/>
          <w:b/>
          <w:bCs/>
          <w:color w:val="auto"/>
          <w:sz w:val="24"/>
        </w:rPr>
        <w:fldChar w:fldCharType="separate"/>
      </w:r>
      <w:r>
        <w:rPr>
          <w:rFonts w:hint="default" w:ascii="Times New Roman" w:hAnsi="Times New Roman" w:cs="Times New Roman"/>
          <w:b/>
          <w:bCs/>
          <w:color w:val="auto"/>
          <w:sz w:val="24"/>
        </w:rPr>
        <w:t>54</w:t>
      </w:r>
      <w:r>
        <w:rPr>
          <w:rFonts w:hint="default" w:ascii="Times New Roman" w:hAnsi="Times New Roman" w:cs="Times New Roman"/>
          <w:b/>
          <w:bCs/>
          <w:color w:val="auto"/>
          <w:sz w:val="24"/>
        </w:rPr>
        <w:fldChar w:fldCharType="end"/>
      </w:r>
      <w:r>
        <w:rPr>
          <w:rFonts w:hint="default" w:ascii="Times New Roman" w:hAnsi="Times New Roman" w:cs="Times New Roman"/>
          <w:b/>
          <w:bCs/>
          <w:color w:val="auto"/>
          <w:sz w:val="24"/>
        </w:rPr>
        <w:fldChar w:fldCharType="end"/>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cs="Times New Roman"/>
          <w:snapToGrid w:val="0"/>
          <w:color w:val="auto"/>
          <w:sz w:val="24"/>
        </w:rPr>
        <w:fldChar w:fldCharType="end"/>
      </w:r>
      <w:r>
        <w:rPr>
          <w:rFonts w:hint="default" w:ascii="Times New Roman" w:hAnsi="Times New Roman" w:eastAsia="宋体" w:cs="Times New Roman"/>
          <w:b/>
          <w:bCs/>
          <w:color w:val="auto"/>
          <w:lang w:val="en-US" w:eastAsia="zh-CN"/>
        </w:rPr>
        <w:t>附图</w:t>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附图</w:t>
      </w:r>
      <w:r>
        <w:rPr>
          <w:rFonts w:hint="default" w:ascii="Times New Roman" w:hAnsi="Times New Roman" w:eastAsia="宋体" w:cs="Times New Roman"/>
          <w:b/>
          <w:bCs/>
          <w:color w:val="auto"/>
          <w:lang w:val="en-US" w:eastAsia="zh-CN"/>
        </w:rPr>
        <w:t>1  项目地理位置图</w:t>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附图</w:t>
      </w:r>
      <w:r>
        <w:rPr>
          <w:rFonts w:hint="default" w:ascii="Times New Roman" w:hAnsi="Times New Roman" w:eastAsia="宋体" w:cs="Times New Roman"/>
          <w:b/>
          <w:bCs/>
          <w:color w:val="auto"/>
          <w:lang w:val="en-US" w:eastAsia="zh-CN"/>
        </w:rPr>
        <w:t>2  厂区平面布置图</w:t>
      </w:r>
    </w:p>
    <w:p>
      <w:pPr>
        <w:pStyle w:val="27"/>
        <w:adjustRightInd w:val="0"/>
        <w:snapToGrid w:val="0"/>
        <w:spacing w:before="0" w:beforeAutospacing="0" w:after="0" w:afterAutospacing="0" w:line="360" w:lineRule="auto"/>
        <w:outlineLvl w:val="9"/>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附图</w:t>
      </w:r>
      <w:r>
        <w:rPr>
          <w:rFonts w:hint="default" w:ascii="Times New Roman" w:hAnsi="Times New Roman" w:eastAsia="宋体" w:cs="Times New Roman"/>
          <w:b/>
          <w:color w:val="auto"/>
          <w:sz w:val="24"/>
          <w:lang w:val="en-US" w:eastAsia="zh-CN"/>
        </w:rPr>
        <w:t xml:space="preserve">3 </w:t>
      </w:r>
      <w:r>
        <w:rPr>
          <w:rFonts w:hint="default" w:ascii="Times New Roman" w:hAnsi="Times New Roman" w:eastAsia="宋体" w:cs="Times New Roman"/>
          <w:b/>
          <w:color w:val="auto"/>
          <w:sz w:val="24"/>
        </w:rPr>
        <w:t xml:space="preserve"> </w:t>
      </w:r>
      <w:r>
        <w:rPr>
          <w:rFonts w:hint="default" w:ascii="Times New Roman" w:hAnsi="Times New Roman" w:cs="Times New Roman"/>
          <w:b/>
          <w:color w:val="auto"/>
          <w:sz w:val="24"/>
          <w:lang w:val="en-US" w:eastAsia="zh-CN"/>
        </w:rPr>
        <w:t>哈尔滨</w:t>
      </w:r>
      <w:r>
        <w:rPr>
          <w:rFonts w:hint="default" w:ascii="Times New Roman" w:hAnsi="Times New Roman" w:cs="Times New Roman"/>
          <w:b/>
          <w:color w:val="auto"/>
          <w:sz w:val="24"/>
          <w:lang w:eastAsia="zh-CN"/>
        </w:rPr>
        <w:t>市</w:t>
      </w:r>
      <w:r>
        <w:rPr>
          <w:rFonts w:hint="default" w:ascii="Times New Roman" w:hAnsi="Times New Roman" w:eastAsia="宋体" w:cs="Times New Roman"/>
          <w:b/>
          <w:color w:val="auto"/>
          <w:sz w:val="24"/>
        </w:rPr>
        <w:t>环境管控单元图</w:t>
      </w:r>
    </w:p>
    <w:p>
      <w:pPr>
        <w:pStyle w:val="27"/>
        <w:adjustRightInd w:val="0"/>
        <w:snapToGrid w:val="0"/>
        <w:spacing w:before="0" w:beforeAutospacing="0" w:after="0" w:afterAutospacing="0" w:line="360" w:lineRule="auto"/>
        <w:outlineLvl w:val="9"/>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 xml:space="preserve">附图4  </w:t>
      </w:r>
      <w:r>
        <w:rPr>
          <w:rFonts w:hint="default" w:ascii="Times New Roman" w:hAnsi="Times New Roman" w:cs="Times New Roman"/>
          <w:b/>
          <w:color w:val="auto"/>
          <w:sz w:val="24"/>
          <w:lang w:val="en-US" w:eastAsia="zh-CN"/>
        </w:rPr>
        <w:t>评价范围及环境保护目标分布</w:t>
      </w:r>
      <w:r>
        <w:rPr>
          <w:rFonts w:hint="default" w:ascii="Times New Roman" w:hAnsi="Times New Roman" w:eastAsia="宋体" w:cs="Times New Roman"/>
          <w:b/>
          <w:color w:val="auto"/>
          <w:sz w:val="24"/>
          <w:lang w:val="en-US" w:eastAsia="zh-CN"/>
        </w:rPr>
        <w:t>图</w:t>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附件</w:t>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附件1  总量计算说明</w:t>
      </w:r>
    </w:p>
    <w:p>
      <w:pPr>
        <w:pStyle w:val="27"/>
        <w:adjustRightInd w:val="0"/>
        <w:snapToGrid w:val="0"/>
        <w:spacing w:before="0" w:beforeAutospacing="0" w:after="0" w:afterAutospacing="0" w:line="360" w:lineRule="auto"/>
        <w:outlineLvl w:val="9"/>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附件2  生物质成型燃料分析报告</w:t>
      </w:r>
    </w:p>
    <w:p>
      <w:pPr>
        <w:pStyle w:val="27"/>
        <w:adjustRightInd w:val="0"/>
        <w:snapToGrid w:val="0"/>
        <w:spacing w:before="0" w:beforeAutospacing="0" w:after="0" w:afterAutospacing="0" w:line="360" w:lineRule="auto"/>
        <w:outlineLvl w:val="9"/>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附件3  营业执照</w:t>
      </w:r>
    </w:p>
    <w:p>
      <w:pPr>
        <w:pStyle w:val="27"/>
        <w:adjustRightInd w:val="0"/>
        <w:snapToGrid w:val="0"/>
        <w:spacing w:before="0" w:beforeAutospacing="0" w:after="0" w:afterAutospacing="0" w:line="360" w:lineRule="auto"/>
        <w:jc w:val="left"/>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附件</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lang w:eastAsia="zh-CN"/>
        </w:rPr>
        <w:t xml:space="preserve">  </w:t>
      </w:r>
      <w:r>
        <w:rPr>
          <w:rFonts w:hint="default" w:ascii="Times New Roman" w:hAnsi="Times New Roman" w:eastAsia="宋体" w:cs="Times New Roman"/>
          <w:b/>
          <w:bCs/>
          <w:color w:val="auto"/>
          <w:lang w:val="en-US" w:eastAsia="zh-CN"/>
        </w:rPr>
        <w:t>检测报告</w:t>
      </w:r>
    </w:p>
    <w:p>
      <w:pPr>
        <w:pStyle w:val="37"/>
        <w:jc w:val="center"/>
        <w:rPr>
          <w:rFonts w:hint="default" w:ascii="Times New Roman" w:hAnsi="Times New Roman" w:eastAsia="黑体" w:cs="Times New Roman"/>
          <w:color w:val="auto"/>
          <w:lang w:val="en-US" w:eastAsia="zh-CN"/>
        </w:rPr>
      </w:pPr>
    </w:p>
    <w:p>
      <w:pPr>
        <w:rPr>
          <w:rFonts w:hint="default" w:ascii="Times New Roman" w:hAnsi="Times New Roman" w:eastAsia="黑体" w:cs="Times New Roman"/>
          <w:color w:val="auto"/>
          <w:lang w:val="en-US" w:eastAsia="zh-CN"/>
        </w:rPr>
      </w:pPr>
    </w:p>
    <w:p>
      <w:pPr>
        <w:pStyle w:val="29"/>
        <w:rPr>
          <w:rFonts w:hint="default" w:ascii="Times New Roman" w:hAnsi="Times New Roman" w:cs="Times New Roman"/>
          <w:color w:val="auto"/>
          <w:lang w:val="en-US" w:eastAsia="zh-CN"/>
        </w:rPr>
      </w:pPr>
      <w:r>
        <w:rPr>
          <w:rFonts w:hint="default" w:ascii="Times New Roman" w:hAnsi="Times New Roman" w:eastAsia="黑体" w:cs="Times New Roman"/>
          <w:color w:val="auto"/>
          <w:lang w:val="en-US" w:eastAsia="zh-CN"/>
        </w:rPr>
        <w:t xml:space="preserve"> </w:t>
      </w:r>
    </w:p>
    <w:p>
      <w:pPr>
        <w:spacing w:line="360" w:lineRule="auto"/>
        <w:contextualSpacing/>
        <w:rPr>
          <w:rFonts w:hint="default" w:ascii="Times New Roman" w:hAnsi="Times New Roman" w:cs="Times New Roman"/>
          <w:snapToGrid w:val="0"/>
          <w:color w:val="auto"/>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3" w:name="_Toc68775752"/>
      <w:r>
        <w:rPr>
          <w:rFonts w:hint="default" w:ascii="Times New Roman" w:hAnsi="Times New Roman" w:eastAsia="黑体" w:cs="Times New Roman"/>
          <w:snapToGrid w:val="0"/>
          <w:color w:val="auto"/>
          <w:sz w:val="30"/>
          <w:szCs w:val="30"/>
        </w:rPr>
        <w:t>一、建设项目基本情况</w:t>
      </w:r>
      <w:bookmarkEnd w:id="3"/>
    </w:p>
    <w:tbl>
      <w:tblPr>
        <w:tblStyle w:val="32"/>
        <w:tblW w:w="93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1"/>
        <w:gridCol w:w="2594"/>
        <w:gridCol w:w="672"/>
        <w:gridCol w:w="1540"/>
        <w:gridCol w:w="303"/>
        <w:gridCol w:w="24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7587" w:type="dxa"/>
            <w:gridSpan w:val="5"/>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黑龙江昊瑞食品有限公司</w:t>
            </w:r>
            <w:r>
              <w:rPr>
                <w:rFonts w:hint="default" w:ascii="Times New Roman" w:hAnsi="Times New Roman" w:cs="Times New Roman"/>
                <w:color w:val="auto"/>
                <w:sz w:val="24"/>
                <w:lang w:eastAsia="zh-CN"/>
              </w:rPr>
              <w:t>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7587" w:type="dxa"/>
            <w:gridSpan w:val="5"/>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6"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2594" w:type="dxa"/>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马建双</w:t>
            </w:r>
          </w:p>
        </w:tc>
        <w:tc>
          <w:tcPr>
            <w:tcW w:w="2212"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2781"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single"/>
                <w:lang w:val="en-US" w:eastAsia="zh-CN"/>
              </w:rPr>
              <w:t>18645052518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7587" w:type="dxa"/>
            <w:gridSpan w:val="5"/>
            <w:shd w:val="clear" w:color="auto" w:fill="auto"/>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b w:val="0"/>
                <w:bCs w:val="0"/>
                <w:color w:val="auto"/>
                <w:sz w:val="24"/>
                <w:szCs w:val="24"/>
                <w:lang w:val="en-US" w:eastAsia="zh-CN"/>
              </w:rPr>
              <w:t>黑龙江省哈尔滨市五常市八家子乡八家子村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9"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7587" w:type="dxa"/>
            <w:gridSpan w:val="5"/>
            <w:shd w:val="clear" w:color="auto" w:fill="auto"/>
            <w:vAlign w:val="center"/>
          </w:tcPr>
          <w:p>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u w:val="single"/>
              </w:rPr>
              <w:t>12</w:t>
            </w:r>
            <w:r>
              <w:rPr>
                <w:rFonts w:hint="default" w:ascii="Times New Roman" w:hAnsi="Times New Roman" w:cs="Times New Roman"/>
                <w:color w:val="auto"/>
                <w:sz w:val="24"/>
                <w:u w:val="single"/>
                <w:lang w:val="en-US" w:eastAsia="zh-CN"/>
              </w:rPr>
              <w:t>7</w:t>
            </w:r>
            <w:r>
              <w:rPr>
                <w:rFonts w:hint="default" w:ascii="Times New Roman" w:hAnsi="Times New Roman" w:eastAsia="宋体" w:cs="Times New Roman"/>
                <w:color w:val="auto"/>
                <w:sz w:val="24"/>
              </w:rPr>
              <w:t>度</w:t>
            </w:r>
            <w:r>
              <w:rPr>
                <w:rFonts w:hint="eastAsia" w:cs="Times New Roman"/>
                <w:color w:val="auto"/>
                <w:sz w:val="24"/>
                <w:u w:val="single"/>
                <w:lang w:val="en-US" w:eastAsia="zh-CN"/>
              </w:rPr>
              <w:t>3</w:t>
            </w:r>
            <w:r>
              <w:rPr>
                <w:rFonts w:hint="default" w:ascii="Times New Roman" w:hAnsi="Times New Roman" w:eastAsia="宋体" w:cs="Times New Roman"/>
                <w:color w:val="auto"/>
                <w:sz w:val="24"/>
              </w:rPr>
              <w:t>分</w:t>
            </w:r>
            <w:r>
              <w:rPr>
                <w:rFonts w:hint="eastAsia" w:cs="Times New Roman"/>
                <w:color w:val="auto"/>
                <w:sz w:val="24"/>
                <w:u w:val="single"/>
                <w:lang w:val="en-US" w:eastAsia="zh-CN"/>
              </w:rPr>
              <w:t>17.66</w:t>
            </w:r>
            <w:r>
              <w:rPr>
                <w:rFonts w:hint="default" w:ascii="Times New Roman" w:hAnsi="Times New Roman" w:cs="Times New Roman"/>
                <w:color w:val="auto"/>
                <w:sz w:val="24"/>
                <w:u w:val="single"/>
                <w:lang w:val="en-US" w:eastAsia="zh-CN"/>
              </w:rPr>
              <w:t>0</w:t>
            </w:r>
            <w:r>
              <w:rPr>
                <w:rFonts w:hint="default" w:ascii="Times New Roman" w:hAnsi="Times New Roman" w:eastAsia="宋体" w:cs="Times New Roman"/>
                <w:color w:val="auto"/>
                <w:sz w:val="24"/>
              </w:rPr>
              <w:t>秒，</w:t>
            </w:r>
            <w:r>
              <w:rPr>
                <w:rFonts w:hint="default" w:ascii="Times New Roman" w:hAnsi="Times New Roman" w:eastAsia="宋体" w:cs="Times New Roman"/>
                <w:color w:val="auto"/>
                <w:sz w:val="24"/>
                <w:u w:val="single"/>
              </w:rPr>
              <w:t>4</w:t>
            </w:r>
            <w:r>
              <w:rPr>
                <w:rFonts w:hint="eastAsia" w:cs="Times New Roman"/>
                <w:color w:val="auto"/>
                <w:sz w:val="24"/>
                <w:u w:val="single"/>
                <w:lang w:val="en-US" w:eastAsia="zh-CN"/>
              </w:rPr>
              <w:t>5</w:t>
            </w:r>
            <w:r>
              <w:rPr>
                <w:rFonts w:hint="default" w:ascii="Times New Roman" w:hAnsi="Times New Roman" w:eastAsia="宋体" w:cs="Times New Roman"/>
                <w:color w:val="auto"/>
                <w:sz w:val="24"/>
              </w:rPr>
              <w:t>度</w:t>
            </w:r>
            <w:r>
              <w:rPr>
                <w:rFonts w:hint="eastAsia" w:cs="Times New Roman"/>
                <w:color w:val="auto"/>
                <w:sz w:val="24"/>
                <w:u w:val="single"/>
                <w:lang w:val="en-US" w:eastAsia="zh-CN"/>
              </w:rPr>
              <w:t>14</w:t>
            </w:r>
            <w:r>
              <w:rPr>
                <w:rFonts w:hint="default" w:ascii="Times New Roman" w:hAnsi="Times New Roman" w:eastAsia="宋体" w:cs="Times New Roman"/>
                <w:color w:val="auto"/>
                <w:sz w:val="24"/>
              </w:rPr>
              <w:t>分</w:t>
            </w:r>
            <w:r>
              <w:rPr>
                <w:rFonts w:hint="eastAsia" w:cs="Times New Roman"/>
                <w:color w:val="auto"/>
                <w:sz w:val="24"/>
                <w:u w:val="single"/>
                <w:lang w:val="en-US" w:eastAsia="zh-CN"/>
              </w:rPr>
              <w:t>2.42</w:t>
            </w:r>
            <w:r>
              <w:rPr>
                <w:rFonts w:hint="default" w:ascii="Times New Roman" w:hAnsi="Times New Roman" w:cs="Times New Roman"/>
                <w:color w:val="auto"/>
                <w:sz w:val="24"/>
                <w:u w:val="single"/>
                <w:lang w:val="en-US" w:eastAsia="zh-CN"/>
              </w:rPr>
              <w:t>0</w:t>
            </w:r>
            <w:r>
              <w:rPr>
                <w:rFonts w:hint="default" w:ascii="Times New Roman" w:hAnsi="Times New Roman" w:eastAsia="宋体"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29"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3266"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cs="Times New Roman"/>
                <w:kern w:val="2"/>
                <w:sz w:val="24"/>
                <w:szCs w:val="24"/>
              </w:rPr>
              <w:t>C1371蔬菜加工</w:t>
            </w:r>
            <w:r>
              <w:rPr>
                <w:rFonts w:hint="default" w:ascii="Times New Roman" w:hAnsi="Times New Roman" w:cs="Times New Roman"/>
                <w:kern w:val="2"/>
                <w:sz w:val="24"/>
                <w:szCs w:val="24"/>
                <w:lang w:eastAsia="zh-CN"/>
              </w:rPr>
              <w:t>、</w:t>
            </w:r>
            <w:r>
              <w:rPr>
                <w:rFonts w:hint="default" w:ascii="Times New Roman" w:hAnsi="Times New Roman" w:eastAsia="宋体" w:cs="Times New Roman"/>
                <w:color w:val="auto"/>
                <w:sz w:val="24"/>
              </w:rPr>
              <w:t>D4430热力生产和供应</w:t>
            </w:r>
          </w:p>
        </w:tc>
        <w:tc>
          <w:tcPr>
            <w:tcW w:w="1843"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bookmarkStart w:id="4" w:name="_Hlk49843745"/>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bookmarkEnd w:id="4"/>
          </w:p>
        </w:tc>
        <w:tc>
          <w:tcPr>
            <w:tcW w:w="2478" w:type="dxa"/>
            <w:shd w:val="clear" w:color="auto" w:fill="auto"/>
            <w:vAlign w:val="center"/>
          </w:tcPr>
          <w:p>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十、农副食品加工业 13四十一、电力、热力生产和供应业91、热力生产和供应工程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95"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3266" w:type="dxa"/>
            <w:gridSpan w:val="2"/>
            <w:shd w:val="clear" w:color="auto" w:fill="auto"/>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pPr>
              <w:jc w:val="left"/>
              <w:rPr>
                <w:rFonts w:hint="default" w:ascii="Times New Roman" w:hAnsi="Times New Roman" w:eastAsia="宋体" w:cs="Times New Roman"/>
                <w:color w:val="auto"/>
                <w:sz w:val="24"/>
              </w:rPr>
            </w:pPr>
            <w:r>
              <w:rPr>
                <w:rFonts w:hint="default" w:ascii="Times New Roman" w:hAnsi="Times New Roman" w:cs="Times New Roman"/>
                <w:color w:val="auto"/>
                <w:sz w:val="24"/>
                <w:szCs w:val="24"/>
              </w:rPr>
              <w:t>□技术改造</w:t>
            </w:r>
          </w:p>
        </w:tc>
        <w:tc>
          <w:tcPr>
            <w:tcW w:w="1843"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2478" w:type="dxa"/>
            <w:shd w:val="clear" w:color="auto" w:fill="auto"/>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eastAsia="宋体" w:cs="Times New Roman"/>
                <w:color w:val="auto"/>
                <w:sz w:val="24"/>
              </w:rPr>
            </w:pPr>
            <w:r>
              <w:rPr>
                <w:rFonts w:hint="default" w:ascii="Times New Roman" w:hAnsi="Times New Roman" w:cs="Times New Roman"/>
                <w:color w:val="auto"/>
                <w:sz w:val="24"/>
                <w:szCs w:val="24"/>
              </w:rPr>
              <w:t>□重大变动重新报批项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1"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w:t>
            </w:r>
          </w:p>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备案）部门（选填）</w:t>
            </w:r>
          </w:p>
        </w:tc>
        <w:tc>
          <w:tcPr>
            <w:tcW w:w="3266"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c>
          <w:tcPr>
            <w:tcW w:w="1843"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项目审批（核准/备案）文号（选填）</w:t>
            </w:r>
          </w:p>
        </w:tc>
        <w:tc>
          <w:tcPr>
            <w:tcW w:w="2478" w:type="dxa"/>
            <w:shd w:val="clear" w:color="auto" w:fill="auto"/>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2"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总投资（万元）</w:t>
            </w:r>
          </w:p>
        </w:tc>
        <w:tc>
          <w:tcPr>
            <w:tcW w:w="3266"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1000</w:t>
            </w:r>
          </w:p>
        </w:tc>
        <w:tc>
          <w:tcPr>
            <w:tcW w:w="1843"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478" w:type="dxa"/>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shd w:val="clear"/>
                <w:lang w:val="en-US" w:eastAsia="zh-CN"/>
              </w:rPr>
              <w:t>1</w:t>
            </w:r>
            <w:r>
              <w:rPr>
                <w:rFonts w:hint="eastAsia" w:cs="Times New Roman"/>
                <w:color w:val="auto"/>
                <w:sz w:val="24"/>
                <w:highlight w:val="none"/>
                <w:shd w:val="clear"/>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4"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3266" w:type="dxa"/>
            <w:gridSpan w:val="2"/>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shd w:val="clear"/>
                <w:lang w:val="en-US" w:eastAsia="zh-CN"/>
              </w:rPr>
              <w:t>1.</w:t>
            </w:r>
            <w:r>
              <w:rPr>
                <w:rFonts w:hint="eastAsia" w:cs="Times New Roman"/>
                <w:color w:val="auto"/>
                <w:sz w:val="24"/>
                <w:highlight w:val="none"/>
                <w:shd w:val="clear"/>
                <w:lang w:val="en-US" w:eastAsia="zh-CN"/>
              </w:rPr>
              <w:t>7</w:t>
            </w:r>
          </w:p>
        </w:tc>
        <w:tc>
          <w:tcPr>
            <w:tcW w:w="1843"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478" w:type="dxa"/>
            <w:shd w:val="clear" w:color="auto" w:fill="auto"/>
            <w:vAlign w:val="center"/>
          </w:tcPr>
          <w:p>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202</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-202</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09" w:hRule="exact"/>
          <w:jc w:val="center"/>
        </w:trPr>
        <w:tc>
          <w:tcPr>
            <w:tcW w:w="178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3266" w:type="dxa"/>
            <w:gridSpan w:val="2"/>
            <w:shd w:val="clear" w:color="auto" w:fill="auto"/>
            <w:vAlign w:val="center"/>
          </w:tcPr>
          <w:p>
            <w:pPr>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否</w:t>
            </w:r>
          </w:p>
          <w:p>
            <w:pPr>
              <w:adjustRightInd w:val="0"/>
              <w:snapToGrid w:val="0"/>
              <w:rPr>
                <w:rFonts w:hint="default" w:ascii="Times New Roman" w:hAnsi="Times New Roman" w:eastAsia="宋体" w:cs="Times New Roman"/>
                <w:color w:val="auto"/>
                <w:sz w:val="24"/>
                <w:lang w:val="en-US"/>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lang w:val="en-US" w:eastAsia="zh-CN"/>
              </w:rPr>
              <w:t>是：</w:t>
            </w:r>
            <w:r>
              <w:rPr>
                <w:rFonts w:hint="default" w:ascii="Times New Roman" w:hAnsi="Times New Roman" w:cs="Times New Roman"/>
                <w:color w:val="auto"/>
                <w:sz w:val="24"/>
                <w:u w:val="single"/>
              </w:rPr>
              <w:t>本项目厂房</w:t>
            </w:r>
            <w:r>
              <w:rPr>
                <w:rFonts w:hint="default" w:ascii="Times New Roman" w:hAnsi="Times New Roman" w:cs="Times New Roman"/>
                <w:color w:val="auto"/>
                <w:sz w:val="24"/>
                <w:u w:val="single"/>
                <w:lang w:val="en-US" w:eastAsia="zh-CN"/>
              </w:rPr>
              <w:t>已建成</w:t>
            </w:r>
            <w:r>
              <w:rPr>
                <w:rFonts w:hint="default" w:ascii="Times New Roman" w:hAnsi="Times New Roman" w:cs="Times New Roman"/>
                <w:color w:val="auto"/>
                <w:sz w:val="24"/>
                <w:u w:val="single"/>
              </w:rPr>
              <w:t>，</w:t>
            </w:r>
            <w:r>
              <w:rPr>
                <w:rFonts w:hint="default" w:ascii="Times New Roman" w:hAnsi="Times New Roman" w:cs="Times New Roman"/>
                <w:color w:val="auto"/>
                <w:sz w:val="24"/>
                <w:u w:val="single"/>
                <w:lang w:eastAsia="zh-CN"/>
              </w:rPr>
              <w:t>部分</w:t>
            </w:r>
            <w:r>
              <w:rPr>
                <w:rFonts w:hint="default" w:ascii="Times New Roman" w:hAnsi="Times New Roman" w:cs="Times New Roman"/>
                <w:color w:val="auto"/>
                <w:sz w:val="24"/>
                <w:u w:val="single"/>
                <w:lang w:val="en-US" w:eastAsia="zh-CN"/>
              </w:rPr>
              <w:t>设备已安装</w:t>
            </w:r>
            <w:r>
              <w:rPr>
                <w:rFonts w:hint="default" w:ascii="Times New Roman" w:hAnsi="Times New Roman" w:cs="Times New Roman"/>
                <w:color w:val="auto"/>
                <w:sz w:val="24"/>
                <w:u w:val="single"/>
              </w:rPr>
              <w:t>，未投产，</w:t>
            </w:r>
            <w:r>
              <w:rPr>
                <w:rFonts w:hint="default" w:ascii="Times New Roman" w:hAnsi="Times New Roman" w:cs="Times New Roman"/>
                <w:color w:val="auto"/>
                <w:sz w:val="24"/>
                <w:u w:val="single"/>
                <w:lang w:val="en-US" w:eastAsia="zh-CN"/>
              </w:rPr>
              <w:t>根据</w:t>
            </w:r>
            <w:r>
              <w:rPr>
                <w:rFonts w:hint="default" w:ascii="Times New Roman" w:hAnsi="Times New Roman" w:cs="Times New Roman"/>
                <w:color w:val="auto"/>
                <w:sz w:val="24"/>
                <w:u w:val="single"/>
                <w:lang w:eastAsia="zh-CN"/>
              </w:rPr>
              <w:t>《中华人民共和国行政处罚法》、《</w:t>
            </w:r>
            <w:r>
              <w:rPr>
                <w:rFonts w:hint="default" w:ascii="Times New Roman" w:hAnsi="Times New Roman" w:cs="Times New Roman"/>
                <w:color w:val="auto"/>
                <w:sz w:val="24"/>
                <w:u w:val="single"/>
              </w:rPr>
              <w:t>关于进一步规范适用环境行政处罚自由裁量权的指导意见</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rPr>
              <w:t>环执法[2019]42号</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中</w:t>
            </w:r>
            <w:r>
              <w:rPr>
                <w:rFonts w:hint="default" w:ascii="Times New Roman" w:hAnsi="Times New Roman" w:cs="Times New Roman"/>
                <w:color w:val="auto"/>
                <w:sz w:val="24"/>
                <w:u w:val="single"/>
              </w:rPr>
              <w:t>“未批先建”未造成环境污染后果，且企业自行实施关停或者实施停止建设、停止生产等措施的</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single"/>
                <w:lang w:val="en-US" w:eastAsia="zh-CN"/>
              </w:rPr>
              <w:t>免于处罚，所以本项目免于处罚。</w:t>
            </w:r>
          </w:p>
        </w:tc>
        <w:tc>
          <w:tcPr>
            <w:tcW w:w="1843"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478" w:type="dxa"/>
            <w:shd w:val="clear" w:color="auto" w:fill="auto"/>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 w:val="0"/>
                <w:i w:val="0"/>
                <w:caps w:val="0"/>
                <w:color w:val="auto"/>
                <w:spacing w:val="0"/>
                <w:w w:val="100"/>
                <w:sz w:val="24"/>
                <w:szCs w:val="24"/>
                <w:lang w:val="en-US" w:eastAsia="zh-CN"/>
              </w:rPr>
              <w:t>20000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7" w:hRule="exact"/>
          <w:jc w:val="center"/>
        </w:trPr>
        <w:tc>
          <w:tcPr>
            <w:tcW w:w="1781"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专项评价设置情况</w:t>
            </w:r>
          </w:p>
        </w:tc>
        <w:tc>
          <w:tcPr>
            <w:tcW w:w="7587" w:type="dxa"/>
            <w:gridSpan w:val="5"/>
            <w:vAlign w:val="center"/>
          </w:tcPr>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表1-1  专项评价设置情况一览表</w:t>
            </w:r>
          </w:p>
          <w:tbl>
            <w:tblPr>
              <w:tblStyle w:val="32"/>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615"/>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专项评价类别</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设置原则</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排放废气含有毒有害污染物，二噁英、苯并[a]芘、氰化物、氯气且厂界外500m范围内有环境空气保护目标的建设项目</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本项目不排放有毒有害污染物，因此本项目不设立大气专项评价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新增工业废水直排建设项目（槽罐车外送污水处理厂的除外）；新增废水直排的污水集中处理厂</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本项目清洗</w:t>
                  </w:r>
                  <w:r>
                    <w:rPr>
                      <w:rFonts w:hint="default" w:ascii="Times New Roman" w:hAnsi="Times New Roman" w:cs="Times New Roman"/>
                      <w:color w:val="auto"/>
                      <w:sz w:val="18"/>
                      <w:szCs w:val="18"/>
                      <w:highlight w:val="none"/>
                      <w:lang w:val="en-US" w:eastAsia="zh-CN"/>
                    </w:rPr>
                    <w:t>废</w:t>
                  </w:r>
                  <w:r>
                    <w:rPr>
                      <w:rFonts w:hint="default" w:ascii="Times New Roman" w:hAnsi="Times New Roman" w:cs="Times New Roman"/>
                      <w:color w:val="auto"/>
                      <w:sz w:val="18"/>
                      <w:szCs w:val="18"/>
                      <w:highlight w:val="none"/>
                      <w:lang w:eastAsia="zh-CN"/>
                    </w:rPr>
                    <w:t>水</w:t>
                  </w:r>
                  <w:r>
                    <w:rPr>
                      <w:rFonts w:hint="default" w:ascii="Times New Roman" w:hAnsi="Times New Roman" w:cs="Times New Roman"/>
                      <w:color w:val="auto"/>
                      <w:sz w:val="18"/>
                      <w:szCs w:val="18"/>
                      <w:highlight w:val="none"/>
                    </w:rPr>
                    <w:t>、车间地面冲洗废水暂存于30m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的密闭储罐内</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每天由专用罐车拉运至</w:t>
                  </w:r>
                  <w:r>
                    <w:rPr>
                      <w:rFonts w:hint="eastAsia" w:cs="Times New Roman"/>
                      <w:color w:val="auto"/>
                      <w:sz w:val="18"/>
                      <w:szCs w:val="18"/>
                      <w:highlight w:val="none"/>
                      <w:lang w:eastAsia="zh-CN"/>
                    </w:rPr>
                    <w:t>五常市民泉污水处理有限公司</w:t>
                  </w:r>
                  <w:r>
                    <w:rPr>
                      <w:rFonts w:hint="default" w:ascii="Times New Roman" w:hAnsi="Times New Roman" w:cs="Times New Roman"/>
                      <w:color w:val="auto"/>
                      <w:sz w:val="18"/>
                      <w:szCs w:val="18"/>
                      <w:highlight w:val="none"/>
                    </w:rPr>
                    <w:t>处理</w:t>
                  </w:r>
                  <w:r>
                    <w:rPr>
                      <w:rFonts w:hint="default" w:ascii="Times New Roman" w:hAnsi="Times New Roman" w:cs="Times New Roman"/>
                      <w:color w:val="auto"/>
                      <w:sz w:val="18"/>
                      <w:szCs w:val="18"/>
                      <w:highlight w:val="none"/>
                      <w:lang w:eastAsia="zh-CN"/>
                    </w:rPr>
                    <w:t>；锅炉排污水及软化处理废水用于锅炉房、灰渣间、厂区洒水降尘，不外排；</w:t>
                  </w:r>
                  <w:r>
                    <w:rPr>
                      <w:rFonts w:hint="default" w:ascii="Times New Roman" w:hAnsi="Times New Roman" w:cs="Times New Roman"/>
                      <w:color w:val="auto"/>
                      <w:sz w:val="18"/>
                      <w:szCs w:val="18"/>
                      <w:highlight w:val="none"/>
                      <w:lang w:val="en-US" w:eastAsia="zh-CN"/>
                    </w:rPr>
                    <w:t>生活污水进入厂区内防渗旱厕，</w:t>
                  </w:r>
                  <w:r>
                    <w:rPr>
                      <w:rFonts w:hint="default" w:ascii="Times New Roman" w:hAnsi="Times New Roman" w:cs="Times New Roman"/>
                      <w:color w:val="auto"/>
                      <w:sz w:val="18"/>
                      <w:szCs w:val="18"/>
                      <w:highlight w:val="none"/>
                    </w:rPr>
                    <w:t>定期清掏，外运堆肥。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w:t>
                  </w:r>
                </w:p>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风险</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有毒有害和易燃易爆危险物质存储量超过临界量的建设项目</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本项目不涉及有毒有害和易燃易爆危险物质存储，不需设置。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取水口下游500m范围内有重要水生生物的自然产卵场、索饵场、越冬场和洄游通道的新增河道取水的污染类建设项目</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本项目不涉及河道取水，不需设置。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72"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海洋</w:t>
                  </w:r>
                </w:p>
              </w:tc>
              <w:tc>
                <w:tcPr>
                  <w:tcW w:w="2455" w:type="pct"/>
                  <w:tcBorders>
                    <w:tl2br w:val="nil"/>
                    <w:tr2bl w:val="nil"/>
                  </w:tcBorders>
                  <w:noWrap w:val="0"/>
                  <w:vAlign w:val="center"/>
                </w:tcPr>
                <w:p>
                  <w:pPr>
                    <w:widowControl/>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直接向海洋排放污染物的海洋工程建设项目</w:t>
                  </w:r>
                </w:p>
              </w:tc>
              <w:tc>
                <w:tcPr>
                  <w:tcW w:w="1871" w:type="pct"/>
                  <w:tcBorders>
                    <w:tl2br w:val="nil"/>
                    <w:tr2bl w:val="nil"/>
                  </w:tcBorders>
                  <w:noWrap w:val="0"/>
                  <w:vAlign w:val="center"/>
                </w:tcPr>
                <w:p>
                  <w:pPr>
                    <w:widowControl/>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本项目不涉及海洋，不需设置。</w:t>
                  </w:r>
                </w:p>
              </w:tc>
            </w:tr>
          </w:tbl>
          <w:p>
            <w:pPr>
              <w:autoSpaceDE w:val="0"/>
              <w:autoSpaceDN w:val="0"/>
              <w:adjustRightInd w:val="0"/>
              <w:snapToGrid w:val="0"/>
              <w:jc w:val="both"/>
              <w:rPr>
                <w:rFonts w:hint="default" w:ascii="Times New Roman" w:hAnsi="Times New Roman" w:eastAsia="宋体" w:cs="Times New Roman"/>
                <w:color w:val="auto"/>
                <w:kern w:val="0"/>
                <w:sz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1781"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规划情况</w:t>
            </w:r>
          </w:p>
        </w:tc>
        <w:tc>
          <w:tcPr>
            <w:tcW w:w="7587" w:type="dxa"/>
            <w:gridSpan w:val="5"/>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1781" w:type="dxa"/>
            <w:vAlign w:val="center"/>
          </w:tcPr>
          <w:p>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规划环境影响</w:t>
            </w:r>
          </w:p>
          <w:p>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评价情况</w:t>
            </w:r>
          </w:p>
        </w:tc>
        <w:tc>
          <w:tcPr>
            <w:tcW w:w="7587" w:type="dxa"/>
            <w:gridSpan w:val="5"/>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 w:hRule="exact"/>
          <w:jc w:val="center"/>
        </w:trPr>
        <w:tc>
          <w:tcPr>
            <w:tcW w:w="1781"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规划及规划环境影响评价符合性分析</w:t>
            </w:r>
          </w:p>
        </w:tc>
        <w:tc>
          <w:tcPr>
            <w:tcW w:w="7587" w:type="dxa"/>
            <w:gridSpan w:val="5"/>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1" w:type="dxa"/>
            <w:vAlign w:val="center"/>
          </w:tcPr>
          <w:p>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其他符合性分析</w:t>
            </w:r>
          </w:p>
        </w:tc>
        <w:tc>
          <w:tcPr>
            <w:tcW w:w="7587" w:type="dxa"/>
            <w:gridSpan w:val="5"/>
            <w:shd w:val="clear" w:color="auto" w:fill="auto"/>
            <w:vAlign w:val="center"/>
          </w:tcPr>
          <w:p>
            <w:pPr>
              <w:keepNext w:val="0"/>
              <w:keepLines w:val="0"/>
              <w:pageBreakBefore w:val="0"/>
              <w:widowControl w:val="0"/>
              <w:numPr>
                <w:ilvl w:val="0"/>
                <w:numId w:val="4"/>
              </w:numPr>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产业政策符合性分析</w:t>
            </w:r>
          </w:p>
          <w:p>
            <w:pPr>
              <w:keepNext w:val="0"/>
              <w:keepLines w:val="0"/>
              <w:pageBreakBefore w:val="0"/>
              <w:widowControl w:val="0"/>
              <w:numPr>
                <w:ilvl w:val="0"/>
                <w:numId w:val="0"/>
              </w:numPr>
              <w:shd w:val="clear"/>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val="0"/>
                <w:bCs w:val="0"/>
                <w:sz w:val="24"/>
              </w:rPr>
              <w:t>项目属于《产业结构调整指导目录》(2019年本)中的“一、农林业第26条：农林牧渔产品储运、保鲜、加工与综合利用”，为鼓励类项目，根据国务院《促进产业结构调整暂行规定》（国发［2005］40号），项目的建设符合国家相关法律和政策，符合国家产业政策要求</w:t>
            </w:r>
            <w:r>
              <w:rPr>
                <w:rFonts w:hint="default" w:ascii="Times New Roman" w:hAnsi="Times New Roman" w:cs="Times New Roman"/>
                <w:b w:val="0"/>
                <w:bCs w:val="0"/>
                <w:color w:val="auto"/>
                <w:kern w:val="0"/>
                <w:sz w:val="24"/>
                <w:szCs w:val="24"/>
                <w:lang w:val="en-US" w:eastAsia="zh-CN"/>
              </w:rPr>
              <w:t>。</w:t>
            </w:r>
          </w:p>
          <w:p>
            <w:pPr>
              <w:keepNext w:val="0"/>
              <w:keepLines w:val="0"/>
              <w:pageBreakBefore w:val="0"/>
              <w:widowControl w:val="0"/>
              <w:shd w:val="clear"/>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、与“三线一单”符合性分析</w:t>
            </w:r>
          </w:p>
          <w:p>
            <w:pPr>
              <w:pStyle w:val="29"/>
              <w:keepNext w:val="0"/>
              <w:keepLines w:val="0"/>
              <w:pageBreakBefore w:val="0"/>
              <w:widowControl w:val="0"/>
              <w:suppressLineNumbers w:val="0"/>
              <w:shd w:val="clear" w:color="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cs="Times New Roman"/>
                <w:b w:val="0"/>
                <w:bCs w:val="0"/>
                <w:color w:val="auto"/>
                <w:sz w:val="24"/>
                <w:szCs w:val="24"/>
              </w:rPr>
              <w:t>根据《黑龙江省人民政府关于</w:t>
            </w:r>
            <w:r>
              <w:rPr>
                <w:rFonts w:hint="default" w:ascii="Times New Roman" w:hAnsi="Times New Roman" w:eastAsia="宋体" w:cs="Times New Roman"/>
                <w:b w:val="0"/>
                <w:bCs w:val="0"/>
                <w:color w:val="auto"/>
                <w:sz w:val="24"/>
                <w:szCs w:val="24"/>
              </w:rPr>
              <w:t>实施“三线一单”生态环境分</w:t>
            </w:r>
            <w:r>
              <w:rPr>
                <w:rFonts w:hint="default" w:ascii="Times New Roman" w:hAnsi="Times New Roman" w:cs="Times New Roman"/>
                <w:b w:val="0"/>
                <w:bCs w:val="0"/>
                <w:color w:val="auto"/>
                <w:sz w:val="24"/>
                <w:szCs w:val="24"/>
              </w:rPr>
              <w:t>区管控的意见》（黑政发[2020]14号）和《哈尔滨市人民政</w:t>
            </w:r>
            <w:r>
              <w:rPr>
                <w:rFonts w:hint="default" w:ascii="Times New Roman" w:hAnsi="Times New Roman" w:eastAsia="宋体" w:cs="Times New Roman"/>
                <w:b w:val="0"/>
                <w:bCs w:val="0"/>
                <w:color w:val="auto"/>
                <w:sz w:val="24"/>
                <w:szCs w:val="24"/>
              </w:rPr>
              <w:t>府关于“三线一单”</w:t>
            </w:r>
            <w:r>
              <w:rPr>
                <w:rFonts w:hint="default" w:ascii="Times New Roman" w:hAnsi="Times New Roman" w:cs="Times New Roman"/>
                <w:b w:val="0"/>
                <w:bCs w:val="0"/>
                <w:color w:val="auto"/>
                <w:sz w:val="24"/>
                <w:szCs w:val="24"/>
              </w:rPr>
              <w:t>生态环境分区管控的意见》（哈政规[2021]7号），本项目位于</w:t>
            </w:r>
            <w:r>
              <w:rPr>
                <w:rFonts w:hint="eastAsia" w:cs="Times New Roman"/>
                <w:b w:val="0"/>
                <w:bCs w:val="0"/>
                <w:color w:val="auto"/>
                <w:sz w:val="24"/>
                <w:szCs w:val="24"/>
                <w:lang w:eastAsia="zh-CN"/>
              </w:rPr>
              <w:t>黑龙江省哈尔滨市五常市八家子乡八家子村</w:t>
            </w:r>
            <w:r>
              <w:rPr>
                <w:rFonts w:hint="default" w:ascii="Times New Roman" w:hAnsi="Times New Roman" w:cs="Times New Roman"/>
                <w:b w:val="0"/>
                <w:bCs w:val="0"/>
                <w:color w:val="auto"/>
                <w:sz w:val="24"/>
                <w:szCs w:val="24"/>
              </w:rPr>
              <w:t>，位于</w:t>
            </w:r>
            <w:r>
              <w:rPr>
                <w:rFonts w:hint="default" w:ascii="Times New Roman" w:hAnsi="Times New Roman" w:cs="Times New Roman"/>
                <w:b w:val="0"/>
                <w:bCs w:val="0"/>
                <w:color w:val="auto"/>
                <w:sz w:val="24"/>
                <w:szCs w:val="24"/>
                <w:lang w:val="en-US" w:eastAsia="zh-CN"/>
              </w:rPr>
              <w:t>一般</w:t>
            </w:r>
            <w:r>
              <w:rPr>
                <w:rFonts w:hint="default" w:ascii="Times New Roman" w:hAnsi="Times New Roman" w:cs="Times New Roman"/>
                <w:b w:val="0"/>
                <w:bCs w:val="0"/>
                <w:color w:val="auto"/>
                <w:sz w:val="24"/>
                <w:szCs w:val="24"/>
              </w:rPr>
              <w:t>管控单元，见附图</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w:t>
            </w:r>
          </w:p>
          <w:p>
            <w:pPr>
              <w:pStyle w:val="69"/>
              <w:spacing w:line="360" w:lineRule="auto"/>
              <w:ind w:firstLine="480"/>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（1）生态保护红线符合性分析</w:t>
            </w:r>
          </w:p>
          <w:p>
            <w:pPr>
              <w:pStyle w:val="69"/>
              <w:spacing w:line="360" w:lineRule="auto"/>
              <w:ind w:firstLine="480"/>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本项目位于</w:t>
            </w:r>
            <w:r>
              <w:rPr>
                <w:rFonts w:hint="eastAsia" w:ascii="Times New Roman" w:hAnsi="Times New Roman" w:cs="Times New Roman"/>
                <w:b w:val="0"/>
                <w:bCs w:val="0"/>
                <w:color w:val="auto"/>
                <w:szCs w:val="24"/>
                <w:lang w:eastAsia="zh-CN"/>
              </w:rPr>
              <w:t>黑龙江省哈尔滨市五常市八家子乡八家子村</w:t>
            </w:r>
            <w:r>
              <w:rPr>
                <w:rFonts w:hint="default" w:ascii="Times New Roman" w:hAnsi="Times New Roman" w:cs="Times New Roman"/>
                <w:b w:val="0"/>
                <w:bCs w:val="0"/>
                <w:color w:val="auto"/>
                <w:szCs w:val="24"/>
              </w:rPr>
              <w:t>，项目不在当地饮用水源、风景名胜区、自然保护区等生态保护区内，不在“自然资源部办公厅发布《自然资源部办公厅关于辽宁等省（市）启用“三区三线”划定成果作为报批建设项目用地用海依据的函》”中的生态保护红线范围内，满足生态保护红线要求。</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（2）环境质量底线符合性分析</w:t>
            </w:r>
          </w:p>
          <w:p>
            <w:pPr>
              <w:pStyle w:val="37"/>
              <w:tabs>
                <w:tab w:val="center" w:pos="4252"/>
                <w:tab w:val="left" w:pos="7065"/>
              </w:tabs>
              <w:snapToGrid w:val="0"/>
              <w:spacing w:line="360" w:lineRule="auto"/>
              <w:ind w:firstLine="480" w:firstLineChars="200"/>
              <w:jc w:val="both"/>
              <w:rPr>
                <w:rFonts w:hint="default" w:ascii="Times New Roman" w:hAnsi="Times New Roman" w:eastAsia="宋体" w:cs="Times New Roman"/>
                <w:b w:val="0"/>
                <w:bCs w:val="0"/>
                <w:color w:val="auto"/>
                <w:kern w:val="2"/>
              </w:rPr>
            </w:pPr>
            <w:r>
              <w:rPr>
                <w:rFonts w:hint="default" w:ascii="Times New Roman" w:hAnsi="Times New Roman" w:cs="Times New Roman"/>
                <w:b w:val="0"/>
                <w:bCs w:val="0"/>
                <w:sz w:val="24"/>
                <w:szCs w:val="20"/>
              </w:rPr>
              <w:t>项目所在区域为环境空气质量</w:t>
            </w:r>
            <w:r>
              <w:rPr>
                <w:rFonts w:hint="default" w:ascii="Times New Roman" w:hAnsi="Times New Roman" w:cs="Times New Roman"/>
                <w:b w:val="0"/>
                <w:bCs w:val="0"/>
                <w:sz w:val="24"/>
                <w:szCs w:val="20"/>
                <w:lang w:val="en-US" w:eastAsia="zh-CN"/>
              </w:rPr>
              <w:t>不</w:t>
            </w:r>
            <w:r>
              <w:rPr>
                <w:rFonts w:hint="default" w:ascii="Times New Roman" w:hAnsi="Times New Roman" w:cs="Times New Roman"/>
                <w:b w:val="0"/>
                <w:bCs w:val="0"/>
                <w:sz w:val="24"/>
                <w:szCs w:val="20"/>
              </w:rPr>
              <w:t>达标区，</w:t>
            </w:r>
            <w:r>
              <w:rPr>
                <w:rFonts w:hint="default" w:ascii="Times New Roman" w:hAnsi="Times New Roman" w:cs="Times New Roman"/>
                <w:b w:val="0"/>
                <w:bCs w:val="0"/>
                <w:kern w:val="0"/>
                <w:sz w:val="24"/>
              </w:rPr>
              <w:t>本项目</w:t>
            </w:r>
            <w:r>
              <w:rPr>
                <w:rFonts w:hint="eastAsia" w:ascii="Times New Roman" w:cs="Times New Roman"/>
                <w:b w:val="0"/>
                <w:bCs w:val="0"/>
                <w:kern w:val="0"/>
                <w:sz w:val="24"/>
                <w:lang w:val="en-US" w:eastAsia="zh-CN"/>
              </w:rPr>
              <w:t>4t/h、6t/h燃生物质蒸汽锅炉产生的烟气经1台布袋除尘器处理后经1根35m高</w:t>
            </w:r>
            <w:r>
              <w:rPr>
                <w:rFonts w:hint="default" w:ascii="Times New Roman" w:hAnsi="Times New Roman" w:cs="Times New Roman"/>
                <w:b w:val="0"/>
                <w:bCs w:val="0"/>
                <w:kern w:val="0"/>
                <w:sz w:val="24"/>
              </w:rPr>
              <w:t>烟囱（DA001）排放，布袋除尘器处理效率为</w:t>
            </w:r>
            <w:r>
              <w:rPr>
                <w:rFonts w:hint="eastAsia" w:ascii="Times New Roman" w:cs="Times New Roman"/>
                <w:b w:val="0"/>
                <w:bCs w:val="0"/>
                <w:kern w:val="0"/>
                <w:sz w:val="24"/>
                <w:lang w:eastAsia="zh-CN"/>
              </w:rPr>
              <w:t>99.2%</w:t>
            </w:r>
            <w:r>
              <w:rPr>
                <w:rFonts w:hint="default" w:ascii="Times New Roman" w:hAnsi="Times New Roman" w:cs="Times New Roman"/>
                <w:b w:val="0"/>
                <w:bCs w:val="0"/>
                <w:kern w:val="0"/>
                <w:sz w:val="24"/>
              </w:rPr>
              <w:t>，满足《锅炉大气污染物排放标准》（GB13271-2014）</w:t>
            </w:r>
            <w:r>
              <w:rPr>
                <w:rFonts w:hint="default" w:ascii="Times New Roman" w:hAnsi="Times New Roman" w:cs="Times New Roman"/>
                <w:b w:val="0"/>
                <w:bCs w:val="0"/>
                <w:kern w:val="0"/>
                <w:sz w:val="24"/>
                <w:lang w:eastAsia="zh-CN"/>
              </w:rPr>
              <w:t>表3大气污染物特别排放限值中燃煤锅炉标准</w:t>
            </w:r>
            <w:r>
              <w:rPr>
                <w:rFonts w:hint="default" w:ascii="Times New Roman" w:hAnsi="Times New Roman" w:cs="Times New Roman"/>
                <w:b w:val="0"/>
                <w:bCs w:val="0"/>
                <w:kern w:val="0"/>
                <w:sz w:val="24"/>
              </w:rPr>
              <w:t>中燃煤锅炉要求。玉米</w:t>
            </w:r>
            <w:r>
              <w:rPr>
                <w:rFonts w:hint="default" w:ascii="Times New Roman" w:hAnsi="Times New Roman" w:cs="Times New Roman"/>
                <w:b w:val="0"/>
                <w:bCs w:val="0"/>
                <w:kern w:val="0"/>
                <w:sz w:val="24"/>
                <w:lang w:eastAsia="zh-CN"/>
              </w:rPr>
              <w:t>蒸煮</w:t>
            </w:r>
            <w:r>
              <w:rPr>
                <w:rFonts w:hint="default" w:ascii="Times New Roman" w:hAnsi="Times New Roman" w:cs="Times New Roman"/>
                <w:b w:val="0"/>
                <w:bCs w:val="0"/>
                <w:kern w:val="0"/>
                <w:sz w:val="24"/>
              </w:rPr>
              <w:t>工序会产生少量异味（以臭气浓度计），</w:t>
            </w:r>
            <w:r>
              <w:rPr>
                <w:rFonts w:hint="default" w:ascii="Times New Roman" w:hAnsi="Times New Roman" w:cs="Times New Roman"/>
                <w:b w:val="0"/>
                <w:bCs w:val="0"/>
                <w:kern w:val="0"/>
                <w:sz w:val="24"/>
                <w:lang w:eastAsia="zh-CN"/>
              </w:rPr>
              <w:t>蒸煮</w:t>
            </w:r>
            <w:r>
              <w:rPr>
                <w:rFonts w:hint="default" w:ascii="Times New Roman" w:hAnsi="Times New Roman" w:cs="Times New Roman"/>
                <w:b w:val="0"/>
                <w:bCs w:val="0"/>
                <w:kern w:val="0"/>
                <w:sz w:val="24"/>
              </w:rPr>
              <w:t>工序产生异味在生产车间内散溢，加强车间通风，</w:t>
            </w:r>
            <w:r>
              <w:rPr>
                <w:rFonts w:hint="default" w:ascii="Times New Roman" w:hAnsi="Times New Roman" w:cs="Times New Roman"/>
                <w:b w:val="0"/>
                <w:bCs w:val="0"/>
                <w:kern w:val="0"/>
                <w:sz w:val="24"/>
                <w:lang w:eastAsia="zh-CN"/>
              </w:rPr>
              <w:t>蒸煮</w:t>
            </w:r>
            <w:r>
              <w:rPr>
                <w:rFonts w:hint="default" w:ascii="Times New Roman" w:hAnsi="Times New Roman" w:cs="Times New Roman"/>
                <w:b w:val="0"/>
                <w:bCs w:val="0"/>
                <w:kern w:val="0"/>
                <w:sz w:val="24"/>
              </w:rPr>
              <w:t>工序异味对外环境影响较小。厂界臭气浓度能够满足《恶臭污染物排放标准》（GB14554-93）表2中臭气浓度20 (无量纲)标准限值。食堂安装油烟净化器进行净化，净化效率</w:t>
            </w:r>
            <w:r>
              <w:rPr>
                <w:rFonts w:hint="default" w:ascii="Times New Roman" w:hAnsi="Times New Roman" w:cs="Times New Roman"/>
                <w:b w:val="0"/>
                <w:bCs w:val="0"/>
                <w:kern w:val="0"/>
                <w:sz w:val="24"/>
                <w:lang w:eastAsia="zh-CN"/>
              </w:rPr>
              <w:t>75%</w:t>
            </w:r>
            <w:r>
              <w:rPr>
                <w:rFonts w:hint="default" w:ascii="Times New Roman" w:hAnsi="Times New Roman" w:cs="Times New Roman"/>
                <w:b w:val="0"/>
                <w:bCs w:val="0"/>
                <w:kern w:val="0"/>
                <w:sz w:val="24"/>
              </w:rPr>
              <w:t>，油烟废气经油烟净化器处理后达标排放；</w:t>
            </w:r>
            <w:r>
              <w:rPr>
                <w:rFonts w:hint="default" w:ascii="Times New Roman" w:hAnsi="Times New Roman" w:cs="Times New Roman"/>
                <w:b w:val="0"/>
                <w:bCs w:val="0"/>
                <w:sz w:val="24"/>
                <w:szCs w:val="20"/>
              </w:rPr>
              <w:t>本项目办公室冬季采暖使用电暖气，通过相应大气污染防治措施可使全部大气污染物达标排放，对环境空气影响较</w:t>
            </w:r>
            <w:r>
              <w:rPr>
                <w:rFonts w:hint="default" w:ascii="Times New Roman" w:hAnsi="Times New Roman" w:cs="Times New Roman"/>
                <w:b w:val="0"/>
                <w:bCs w:val="0"/>
                <w:sz w:val="24"/>
                <w:szCs w:val="24"/>
              </w:rPr>
              <w:t>小。</w:t>
            </w:r>
            <w:r>
              <w:rPr>
                <w:rFonts w:hint="default" w:ascii="Times New Roman" w:hAnsi="Times New Roman" w:cs="Times New Roman"/>
                <w:b w:val="0"/>
                <w:bCs w:val="0"/>
                <w:color w:val="auto"/>
                <w:sz w:val="24"/>
                <w:szCs w:val="24"/>
              </w:rPr>
              <w:t>本项目</w:t>
            </w:r>
            <w:r>
              <w:rPr>
                <w:rFonts w:hint="default" w:ascii="Times New Roman" w:hAnsi="Times New Roman" w:cs="Times New Roman"/>
                <w:b w:val="0"/>
                <w:bCs w:val="0"/>
                <w:color w:val="auto"/>
                <w:sz w:val="24"/>
                <w:szCs w:val="24"/>
                <w:lang w:eastAsia="zh-CN"/>
              </w:rPr>
              <w:t>锅炉排污水及软化处理废水用于锅炉房、灰渣间、厂区洒水降尘，不外排；</w:t>
            </w:r>
            <w:r>
              <w:rPr>
                <w:rFonts w:hint="default" w:ascii="Times New Roman" w:hAnsi="Times New Roman" w:cs="Times New Roman"/>
                <w:b w:val="0"/>
                <w:bCs w:val="0"/>
                <w:color w:val="auto"/>
                <w:sz w:val="24"/>
                <w:szCs w:val="24"/>
                <w:lang w:val="en-US" w:eastAsia="zh-CN"/>
              </w:rPr>
              <w:t>生活污水进入厂区内防渗旱厕，</w:t>
            </w:r>
            <w:r>
              <w:rPr>
                <w:rFonts w:hint="default" w:ascii="Times New Roman" w:hAnsi="Times New Roman" w:cs="Times New Roman"/>
                <w:b w:val="0"/>
                <w:bCs w:val="0"/>
                <w:color w:val="auto"/>
                <w:sz w:val="24"/>
                <w:szCs w:val="24"/>
                <w:highlight w:val="none"/>
              </w:rPr>
              <w:t>定期清掏，外运堆肥。清洗</w:t>
            </w:r>
            <w:r>
              <w:rPr>
                <w:rFonts w:hint="default" w:ascii="Times New Roman" w:hAnsi="Times New Roman" w:cs="Times New Roman"/>
                <w:b w:val="0"/>
                <w:bCs w:val="0"/>
                <w:color w:val="auto"/>
                <w:sz w:val="24"/>
                <w:szCs w:val="24"/>
                <w:highlight w:val="none"/>
                <w:lang w:val="en-US" w:eastAsia="zh-CN"/>
              </w:rPr>
              <w:t>废</w:t>
            </w:r>
            <w:r>
              <w:rPr>
                <w:rFonts w:hint="default" w:ascii="Times New Roman" w:hAnsi="Times New Roman" w:cs="Times New Roman"/>
                <w:b w:val="0"/>
                <w:bCs w:val="0"/>
                <w:color w:val="auto"/>
                <w:sz w:val="24"/>
                <w:szCs w:val="24"/>
                <w:highlight w:val="none"/>
                <w:lang w:eastAsia="zh-CN"/>
              </w:rPr>
              <w:t>水</w:t>
            </w:r>
            <w:r>
              <w:rPr>
                <w:rFonts w:hint="default" w:ascii="Times New Roman" w:hAnsi="Times New Roman" w:cs="Times New Roman"/>
                <w:b w:val="0"/>
                <w:bCs w:val="0"/>
                <w:color w:val="auto"/>
                <w:sz w:val="24"/>
                <w:szCs w:val="24"/>
                <w:highlight w:val="none"/>
              </w:rPr>
              <w:t>、车间地面冲洗废水暂存于30m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的密闭储罐内</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每天由专用罐车拉运至</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cs="Times New Roman"/>
                <w:b w:val="0"/>
                <w:bCs w:val="0"/>
                <w:color w:val="auto"/>
                <w:sz w:val="24"/>
                <w:szCs w:val="24"/>
                <w:highlight w:val="none"/>
              </w:rPr>
              <w:t>处理</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kern w:val="0"/>
                <w:sz w:val="24"/>
                <w:szCs w:val="24"/>
                <w:highlight w:val="none"/>
              </w:rPr>
              <w:t>日产日清</w:t>
            </w:r>
            <w:r>
              <w:rPr>
                <w:rFonts w:hint="default" w:ascii="Times New Roman" w:hAnsi="Times New Roman" w:cs="Times New Roman"/>
                <w:b w:val="0"/>
                <w:bCs w:val="0"/>
                <w:sz w:val="24"/>
                <w:szCs w:val="24"/>
                <w:highlight w:val="none"/>
              </w:rPr>
              <w:t>，对地表水环境影响较小。项目针对设备噪声采取基础减振等降噪措施，</w:t>
            </w:r>
            <w:r>
              <w:rPr>
                <w:rFonts w:hint="default" w:ascii="Times New Roman" w:hAnsi="Times New Roman" w:cs="Times New Roman"/>
                <w:b w:val="0"/>
                <w:bCs w:val="0"/>
                <w:sz w:val="24"/>
                <w:szCs w:val="24"/>
              </w:rPr>
              <w:t>厂界满足《工</w:t>
            </w:r>
            <w:r>
              <w:rPr>
                <w:rFonts w:hint="default" w:ascii="Times New Roman" w:hAnsi="Times New Roman" w:cs="Times New Roman"/>
                <w:b w:val="0"/>
                <w:bCs w:val="0"/>
                <w:sz w:val="24"/>
                <w:szCs w:val="20"/>
              </w:rPr>
              <w:t>业企业厂界环境噪声排放标准》（GB12348-2008）中</w:t>
            </w:r>
            <w:r>
              <w:rPr>
                <w:rFonts w:hint="default" w:ascii="Times New Roman" w:hAnsi="Times New Roman" w:cs="Times New Roman"/>
                <w:b w:val="0"/>
                <w:bCs w:val="0"/>
                <w:sz w:val="24"/>
                <w:szCs w:val="20"/>
                <w:lang w:eastAsia="zh-CN"/>
              </w:rPr>
              <w:t>2类</w:t>
            </w:r>
            <w:r>
              <w:rPr>
                <w:rFonts w:hint="default" w:ascii="Times New Roman" w:hAnsi="Times New Roman" w:cs="Times New Roman"/>
                <w:b w:val="0"/>
                <w:bCs w:val="0"/>
                <w:sz w:val="24"/>
                <w:szCs w:val="20"/>
              </w:rPr>
              <w:t>标准要求；本项目产生的固体废物通过采取相应的处理措施后，可实现固体废物处理的无害化，减量化及资源化的目标。本项目的建设不会降低项目所在地周边环境的环境功能质量，符合环境质量控制底线要求</w:t>
            </w:r>
            <w:r>
              <w:rPr>
                <w:rFonts w:hint="default" w:ascii="Times New Roman" w:hAnsi="Times New Roman" w:eastAsia="宋体" w:cs="Times New Roman"/>
                <w:b w:val="0"/>
                <w:bCs w:val="0"/>
                <w:color w:val="auto"/>
                <w:kern w:val="2"/>
              </w:rPr>
              <w:t>。</w:t>
            </w:r>
          </w:p>
          <w:p>
            <w:pPr>
              <w:pStyle w:val="42"/>
              <w:spacing w:before="0" w:beforeLines="0" w:after="0" w:afterLines="0" w:line="360" w:lineRule="auto"/>
              <w:ind w:firstLine="480"/>
              <w:rPr>
                <w:rFonts w:hint="default" w:ascii="Times New Roman" w:hAnsi="Times New Roman" w:cs="Times New Roman"/>
                <w:b w:val="0"/>
                <w:bCs w:val="0"/>
                <w:color w:val="auto"/>
                <w:kern w:val="2"/>
              </w:rPr>
            </w:pPr>
            <w:r>
              <w:rPr>
                <w:rFonts w:hint="default" w:ascii="Times New Roman" w:hAnsi="Times New Roman" w:cs="Times New Roman"/>
                <w:b w:val="0"/>
                <w:bCs w:val="0"/>
                <w:color w:val="auto"/>
                <w:kern w:val="2"/>
              </w:rPr>
              <w:t>（3）资源利用上线符合性分析</w:t>
            </w:r>
          </w:p>
          <w:p>
            <w:pPr>
              <w:spacing w:line="360" w:lineRule="auto"/>
              <w:ind w:left="420" w:left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1）资源利用上线相关要求</w:t>
            </w:r>
          </w:p>
          <w:p>
            <w:pPr>
              <w:spacing w:line="360" w:lineRule="auto"/>
              <w:ind w:left="420" w:left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①能源利用上线</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煤炭消费上线预测以碳排放相关指标数据为基础，结合各市（地）能源结构、能源消费总量、污染物排放及减排潜力情况、大气环境质量现状及目标，充分考虑达标城市抓好经济发展、保障民生工程的需求，确定哈尔滨市目标年煤炭消费上线。</w:t>
            </w:r>
          </w:p>
          <w:p>
            <w:pPr>
              <w:spacing w:line="360" w:lineRule="auto"/>
              <w:ind w:left="420" w:left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②水资源利用上线</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根据黑龙江省最严格水资源管</w:t>
            </w:r>
            <w:r>
              <w:rPr>
                <w:rFonts w:hint="default" w:ascii="Times New Roman" w:hAnsi="Times New Roman" w:eastAsia="宋体" w:cs="Times New Roman"/>
                <w:b w:val="0"/>
                <w:bCs w:val="0"/>
                <w:color w:val="auto"/>
                <w:sz w:val="24"/>
              </w:rPr>
              <w:t>理制度“三条红线”控制指</w:t>
            </w:r>
            <w:r>
              <w:rPr>
                <w:rFonts w:hint="default" w:ascii="Times New Roman" w:hAnsi="Times New Roman" w:cs="Times New Roman"/>
                <w:b w:val="0"/>
                <w:bCs w:val="0"/>
                <w:color w:val="auto"/>
                <w:sz w:val="24"/>
              </w:rPr>
              <w:t>标和《中共黑龙江省委办公厅黑龙江省人民政府办公厅关于加强地下水管理和保护工作的意见》（黑办发〔2018〕52号），根据黑区域环评办〔2019〕4号关于印发《黑龙江省区域空间生态环境评价技术方案》的通知的要求，</w:t>
            </w:r>
            <w:r>
              <w:rPr>
                <w:rFonts w:hint="default" w:ascii="Times New Roman" w:hAnsi="Times New Roman" w:eastAsia="宋体" w:cs="Times New Roman"/>
                <w:b w:val="0"/>
                <w:bCs w:val="0"/>
                <w:color w:val="auto"/>
                <w:sz w:val="24"/>
              </w:rPr>
              <w:t>“评价现状水资源承载状况，对水资源承载负荷超过承载能力或接近承载能力的地区，划定为重点管控区”，将哈</w:t>
            </w:r>
            <w:r>
              <w:rPr>
                <w:rFonts w:hint="default" w:ascii="Times New Roman" w:hAnsi="Times New Roman" w:cs="Times New Roman"/>
                <w:b w:val="0"/>
                <w:bCs w:val="0"/>
                <w:color w:val="auto"/>
                <w:sz w:val="24"/>
              </w:rPr>
              <w:t>尔滨市区的南岗区部分地区和香坊区部分地区划为地下水开采重点管控区，通河县、尚志市、延寿县和方正县划定为重点管控区；其他市县区为一般管控区。</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③土地资源利用上线</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根据《黑龙江省国土规划（2016-2030年）》、《黑龙江省主体功能区规划》的要求，围绕国土空间总体布局，全面推进国土集聚开发、分类保护和综合整治。</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2）符合性分析</w:t>
            </w:r>
          </w:p>
          <w:p>
            <w:pPr>
              <w:adjustRightInd w:val="0"/>
              <w:snapToGrid w:val="0"/>
              <w:spacing w:line="360" w:lineRule="auto"/>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本项目为生物质蒸汽锅炉，燃料为生物质成型燃料，并配备高效布袋除尘器，项目资源消耗量相对区域资源总量较小，符合资源利用上限要求。本项目营运期用水量较少，不属于耗水工业项目，不会加重水资源消耗，本项目符合水资源利用上线管控要求。本项目位于</w:t>
            </w:r>
            <w:r>
              <w:rPr>
                <w:rFonts w:hint="eastAsia" w:cs="Times New Roman"/>
                <w:b w:val="0"/>
                <w:bCs w:val="0"/>
                <w:sz w:val="24"/>
                <w:lang w:eastAsia="zh-CN"/>
              </w:rPr>
              <w:t>黑龙江省哈尔滨市五常市八家子乡八家子村</w:t>
            </w:r>
            <w:r>
              <w:rPr>
                <w:rFonts w:hint="default" w:ascii="Times New Roman" w:hAnsi="Times New Roman" w:cs="Times New Roman"/>
                <w:b w:val="0"/>
                <w:bCs w:val="0"/>
                <w:sz w:val="24"/>
              </w:rPr>
              <w:t>，本项目用地属于</w:t>
            </w:r>
            <w:r>
              <w:rPr>
                <w:rFonts w:hint="default" w:ascii="Times New Roman" w:hAnsi="Times New Roman" w:cs="Times New Roman"/>
                <w:b w:val="0"/>
                <w:bCs w:val="0"/>
                <w:sz w:val="24"/>
                <w:lang w:eastAsia="zh-CN"/>
              </w:rPr>
              <w:t>建设用地</w:t>
            </w:r>
            <w:r>
              <w:rPr>
                <w:rFonts w:hint="default" w:ascii="Times New Roman" w:hAnsi="Times New Roman" w:cs="Times New Roman"/>
                <w:b w:val="0"/>
                <w:bCs w:val="0"/>
                <w:sz w:val="24"/>
              </w:rPr>
              <w:t>，不占用农用地、林地，用地性质符合要求。</w:t>
            </w:r>
          </w:p>
          <w:p>
            <w:pPr>
              <w:adjustRightInd w:val="0"/>
              <w:snapToGrid w:val="0"/>
              <w:spacing w:line="360" w:lineRule="auto"/>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本项目位于</w:t>
            </w:r>
            <w:r>
              <w:rPr>
                <w:rFonts w:hint="eastAsia" w:cs="Times New Roman"/>
                <w:b w:val="0"/>
                <w:bCs w:val="0"/>
                <w:sz w:val="24"/>
                <w:lang w:eastAsia="zh-CN"/>
              </w:rPr>
              <w:t>黑龙江省哈尔滨市五常市八家子乡八家子村</w:t>
            </w:r>
            <w:r>
              <w:rPr>
                <w:rFonts w:hint="default" w:ascii="Times New Roman" w:hAnsi="Times New Roman" w:cs="Times New Roman"/>
                <w:b w:val="0"/>
                <w:bCs w:val="0"/>
                <w:sz w:val="24"/>
              </w:rPr>
              <w:t>，不在城市建成区内，本项目为</w:t>
            </w:r>
            <w:r>
              <w:rPr>
                <w:rFonts w:hint="default" w:ascii="Times New Roman" w:hAnsi="Times New Roman" w:cs="Times New Roman"/>
                <w:b w:val="0"/>
                <w:bCs w:val="0"/>
                <w:sz w:val="24"/>
                <w:lang w:eastAsia="zh-CN"/>
              </w:rPr>
              <w:t>鲜食玉米加工</w:t>
            </w:r>
            <w:r>
              <w:rPr>
                <w:rFonts w:hint="default" w:ascii="Times New Roman" w:hAnsi="Times New Roman" w:cs="Times New Roman"/>
                <w:b w:val="0"/>
                <w:bCs w:val="0"/>
                <w:sz w:val="24"/>
              </w:rPr>
              <w:t>项目，不属于重污染工业企业，</w:t>
            </w:r>
            <w:r>
              <w:rPr>
                <w:rFonts w:hint="default" w:ascii="Times New Roman" w:hAnsi="Times New Roman" w:cs="Times New Roman"/>
                <w:b w:val="0"/>
                <w:bCs w:val="0"/>
                <w:sz w:val="24"/>
                <w:lang w:eastAsia="zh-CN"/>
              </w:rPr>
              <w:t>生</w:t>
            </w:r>
            <w:r>
              <w:rPr>
                <w:rFonts w:hint="default" w:ascii="Times New Roman" w:hAnsi="Times New Roman" w:cs="Times New Roman"/>
                <w:b w:val="0"/>
                <w:bCs w:val="0"/>
                <w:sz w:val="24"/>
                <w:highlight w:val="none"/>
                <w:lang w:eastAsia="zh-CN"/>
              </w:rPr>
              <w:t>产供汽用</w:t>
            </w:r>
            <w:r>
              <w:rPr>
                <w:rFonts w:hint="eastAsia" w:cs="Times New Roman"/>
                <w:b w:val="0"/>
                <w:bCs w:val="0"/>
                <w:sz w:val="24"/>
                <w:highlight w:val="none"/>
                <w:lang w:val="en-US" w:eastAsia="zh-CN"/>
              </w:rPr>
              <w:t>4t/h、6t/h</w:t>
            </w:r>
            <w:r>
              <w:rPr>
                <w:rFonts w:hint="default" w:ascii="Times New Roman" w:hAnsi="Times New Roman" w:cs="Times New Roman"/>
                <w:b w:val="0"/>
                <w:bCs w:val="0"/>
                <w:sz w:val="24"/>
                <w:highlight w:val="none"/>
              </w:rPr>
              <w:t>燃生物质蒸汽锅炉</w:t>
            </w:r>
            <w:r>
              <w:rPr>
                <w:rFonts w:hint="default" w:ascii="Times New Roman" w:hAnsi="Times New Roman" w:cs="Times New Roman"/>
                <w:b w:val="0"/>
                <w:bCs w:val="0"/>
                <w:sz w:val="24"/>
                <w:highlight w:val="none"/>
                <w:lang w:eastAsia="zh-CN"/>
              </w:rPr>
              <w:t>烟气</w:t>
            </w:r>
            <w:r>
              <w:rPr>
                <w:rFonts w:hint="eastAsia" w:cs="Times New Roman"/>
                <w:b w:val="0"/>
                <w:bCs w:val="0"/>
                <w:sz w:val="24"/>
                <w:highlight w:val="none"/>
                <w:lang w:eastAsia="zh-CN"/>
              </w:rPr>
              <w:t>经1台布袋除尘器处理后经1根35m高烟囱（DA001）</w:t>
            </w:r>
            <w:r>
              <w:rPr>
                <w:rFonts w:hint="default" w:ascii="Times New Roman" w:hAnsi="Times New Roman" w:cs="Times New Roman"/>
                <w:b w:val="0"/>
                <w:bCs w:val="0"/>
                <w:sz w:val="24"/>
                <w:highlight w:val="none"/>
              </w:rPr>
              <w:t>；</w:t>
            </w:r>
            <w:r>
              <w:rPr>
                <w:rFonts w:hint="default" w:ascii="Times New Roman" w:hAnsi="Times New Roman" w:cs="Times New Roman"/>
                <w:b w:val="0"/>
                <w:bCs w:val="0"/>
                <w:color w:val="auto"/>
                <w:sz w:val="24"/>
                <w:szCs w:val="24"/>
                <w:highlight w:val="none"/>
              </w:rPr>
              <w:t>本项目</w:t>
            </w:r>
            <w:r>
              <w:rPr>
                <w:rFonts w:hint="default" w:ascii="Times New Roman" w:hAnsi="Times New Roman" w:cs="Times New Roman"/>
                <w:b w:val="0"/>
                <w:bCs w:val="0"/>
                <w:color w:val="auto"/>
                <w:sz w:val="24"/>
                <w:szCs w:val="24"/>
                <w:highlight w:val="none"/>
                <w:lang w:eastAsia="zh-CN"/>
              </w:rPr>
              <w:t>锅炉排污水及软化处理废水用于锅炉房、灰渣间、厂区洒水降尘，</w:t>
            </w:r>
            <w:r>
              <w:rPr>
                <w:rFonts w:hint="default" w:ascii="Times New Roman" w:hAnsi="Times New Roman" w:cs="Times New Roman"/>
                <w:b w:val="0"/>
                <w:bCs w:val="0"/>
                <w:color w:val="auto"/>
                <w:sz w:val="24"/>
                <w:szCs w:val="24"/>
                <w:lang w:eastAsia="zh-CN"/>
              </w:rPr>
              <w:t>不外排；</w:t>
            </w:r>
            <w:r>
              <w:rPr>
                <w:rFonts w:hint="default" w:ascii="Times New Roman" w:hAnsi="Times New Roman" w:cs="Times New Roman"/>
                <w:b w:val="0"/>
                <w:bCs w:val="0"/>
                <w:color w:val="auto"/>
                <w:sz w:val="24"/>
                <w:szCs w:val="24"/>
                <w:lang w:val="en-US" w:eastAsia="zh-CN"/>
              </w:rPr>
              <w:t>生活污水进入厂区内防渗旱厕，</w:t>
            </w:r>
            <w:r>
              <w:rPr>
                <w:rFonts w:hint="default" w:ascii="Times New Roman" w:hAnsi="Times New Roman" w:cs="Times New Roman"/>
                <w:b w:val="0"/>
                <w:bCs w:val="0"/>
                <w:color w:val="auto"/>
                <w:sz w:val="24"/>
                <w:szCs w:val="24"/>
              </w:rPr>
              <w:t>定期清掏，外运堆肥。清洗</w:t>
            </w:r>
            <w:r>
              <w:rPr>
                <w:rFonts w:hint="default" w:ascii="Times New Roman" w:hAnsi="Times New Roman" w:cs="Times New Roman"/>
                <w:b w:val="0"/>
                <w:bCs w:val="0"/>
                <w:color w:val="auto"/>
                <w:sz w:val="24"/>
                <w:szCs w:val="24"/>
                <w:lang w:val="en-US" w:eastAsia="zh-CN"/>
              </w:rPr>
              <w:t>废</w:t>
            </w:r>
            <w:r>
              <w:rPr>
                <w:rFonts w:hint="default" w:ascii="Times New Roman" w:hAnsi="Times New Roman" w:cs="Times New Roman"/>
                <w:b w:val="0"/>
                <w:bCs w:val="0"/>
                <w:color w:val="auto"/>
                <w:sz w:val="24"/>
                <w:szCs w:val="24"/>
                <w:highlight w:val="none"/>
                <w:lang w:eastAsia="zh-CN"/>
              </w:rPr>
              <w:t>水</w:t>
            </w:r>
            <w:r>
              <w:rPr>
                <w:rFonts w:hint="default" w:ascii="Times New Roman" w:hAnsi="Times New Roman" w:cs="Times New Roman"/>
                <w:b w:val="0"/>
                <w:bCs w:val="0"/>
                <w:color w:val="auto"/>
                <w:sz w:val="24"/>
                <w:szCs w:val="24"/>
                <w:highlight w:val="none"/>
              </w:rPr>
              <w:t>、车间地面冲洗废水暂存于30m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的密闭储罐内</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每天由专用罐车拉运至</w:t>
            </w:r>
            <w:r>
              <w:rPr>
                <w:rFonts w:hint="eastAsia" w:cs="Times New Roman"/>
                <w:b w:val="0"/>
                <w:bCs w:val="0"/>
                <w:color w:val="auto"/>
                <w:sz w:val="24"/>
                <w:szCs w:val="24"/>
                <w:highlight w:val="none"/>
                <w:lang w:eastAsia="zh-CN"/>
              </w:rPr>
              <w:t>五常市民泉污水处理有限公司</w:t>
            </w:r>
            <w:r>
              <w:rPr>
                <w:rFonts w:hint="default" w:ascii="Times New Roman" w:hAnsi="Times New Roman" w:cs="Times New Roman"/>
                <w:b w:val="0"/>
                <w:bCs w:val="0"/>
                <w:color w:val="auto"/>
                <w:sz w:val="24"/>
                <w:szCs w:val="24"/>
                <w:highlight w:val="none"/>
              </w:rPr>
              <w:t>处理</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kern w:val="0"/>
                <w:sz w:val="24"/>
                <w:szCs w:val="24"/>
                <w:highlight w:val="none"/>
              </w:rPr>
              <w:t>日产日清</w:t>
            </w:r>
            <w:r>
              <w:rPr>
                <w:rFonts w:hint="default" w:ascii="Times New Roman" w:hAnsi="Times New Roman" w:cs="Times New Roman"/>
                <w:b w:val="0"/>
                <w:bCs w:val="0"/>
                <w:sz w:val="24"/>
                <w:highlight w:val="none"/>
              </w:rPr>
              <w:t>；不涉及化肥、农药、除草剂及包装物等处理。因此符合环境风险防控要求。本项目符合水环境一般管</w:t>
            </w:r>
            <w:r>
              <w:rPr>
                <w:rFonts w:hint="default" w:ascii="Times New Roman" w:hAnsi="Times New Roman" w:cs="Times New Roman"/>
                <w:b w:val="0"/>
                <w:bCs w:val="0"/>
                <w:sz w:val="24"/>
              </w:rPr>
              <w:t>控区要求。</w:t>
            </w:r>
          </w:p>
          <w:p>
            <w:pPr>
              <w:pStyle w:val="45"/>
              <w:adjustRightInd w:val="0"/>
              <w:snapToGrid w:val="0"/>
              <w:spacing w:line="360" w:lineRule="auto"/>
              <w:ind w:firstLine="480"/>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因此，本项目符合“三线一单”中哈尔滨市能源利用上线、水资源利用上线和土地资源利用上线的相关要求。</w:t>
            </w:r>
          </w:p>
          <w:p>
            <w:pPr>
              <w:pStyle w:val="69"/>
              <w:adjustRightInd w:val="0"/>
              <w:snapToGrid w:val="0"/>
              <w:spacing w:line="360" w:lineRule="auto"/>
              <w:ind w:firstLine="480"/>
              <w:rPr>
                <w:rFonts w:hint="default" w:ascii="Times New Roman" w:hAnsi="Times New Roman" w:cs="Times New Roman"/>
                <w:b w:val="0"/>
                <w:bCs w:val="0"/>
                <w:color w:val="auto"/>
                <w:szCs w:val="24"/>
              </w:rPr>
            </w:pPr>
            <w:r>
              <w:rPr>
                <w:rFonts w:hint="default" w:ascii="Times New Roman" w:hAnsi="Times New Roman" w:cs="Times New Roman"/>
                <w:b w:val="0"/>
                <w:bCs w:val="0"/>
                <w:color w:val="auto"/>
                <w:szCs w:val="24"/>
              </w:rPr>
              <w:t>（4）生态环境准入清单</w:t>
            </w:r>
          </w:p>
          <w:p>
            <w:pPr>
              <w:pStyle w:val="69"/>
              <w:adjustRightInd w:val="0"/>
              <w:snapToGrid w:val="0"/>
              <w:spacing w:line="360" w:lineRule="auto"/>
              <w:ind w:firstLine="480"/>
              <w:rPr>
                <w:rFonts w:hint="default" w:ascii="Times New Roman" w:hAnsi="Times New Roman" w:cs="Times New Roman"/>
                <w:b w:val="0"/>
                <w:bCs w:val="0"/>
                <w:color w:val="auto"/>
                <w:szCs w:val="24"/>
              </w:rPr>
            </w:pPr>
            <w:r>
              <w:rPr>
                <w:rFonts w:hint="default" w:ascii="Times New Roman" w:hAnsi="Times New Roman" w:cs="Times New Roman"/>
                <w:b w:val="0"/>
                <w:bCs w:val="0"/>
                <w:snapToGrid w:val="0"/>
                <w:color w:val="auto"/>
                <w:kern w:val="0"/>
                <w:szCs w:val="24"/>
              </w:rPr>
              <w:t>本项目位于</w:t>
            </w:r>
            <w:r>
              <w:rPr>
                <w:rFonts w:hint="eastAsia" w:ascii="Times New Roman" w:hAnsi="Times New Roman" w:cs="Times New Roman"/>
                <w:b w:val="0"/>
                <w:bCs w:val="0"/>
                <w:snapToGrid w:val="0"/>
                <w:color w:val="auto"/>
                <w:kern w:val="0"/>
                <w:szCs w:val="24"/>
                <w:lang w:eastAsia="zh-CN"/>
              </w:rPr>
              <w:t>黑龙江省哈尔滨市五常市八家子乡八家子村</w:t>
            </w:r>
            <w:r>
              <w:rPr>
                <w:rFonts w:hint="default" w:ascii="Times New Roman" w:hAnsi="Times New Roman" w:cs="Times New Roman"/>
                <w:b w:val="0"/>
                <w:bCs w:val="0"/>
                <w:snapToGrid w:val="0"/>
                <w:color w:val="auto"/>
                <w:kern w:val="0"/>
                <w:szCs w:val="24"/>
              </w:rPr>
              <w:t>，</w:t>
            </w:r>
            <w:r>
              <w:rPr>
                <w:rFonts w:hint="default" w:ascii="Times New Roman" w:hAnsi="Times New Roman" w:cs="Times New Roman"/>
                <w:b w:val="0"/>
                <w:bCs w:val="0"/>
                <w:color w:val="auto"/>
                <w:szCs w:val="24"/>
              </w:rPr>
              <w:t>对照《哈尔滨市生态环境准入清单》</w:t>
            </w:r>
            <w:r>
              <w:rPr>
                <w:rFonts w:hint="default" w:ascii="Times New Roman" w:hAnsi="Times New Roman" w:cs="Times New Roman"/>
                <w:b w:val="0"/>
                <w:bCs w:val="0"/>
                <w:color w:val="auto"/>
                <w:szCs w:val="24"/>
                <w:lang w:eastAsia="zh-CN"/>
              </w:rPr>
              <w:t>（</w:t>
            </w:r>
            <w:r>
              <w:rPr>
                <w:rFonts w:hint="default" w:ascii="Times New Roman" w:hAnsi="Times New Roman" w:cs="Times New Roman"/>
                <w:b w:val="0"/>
                <w:bCs w:val="0"/>
                <w:color w:val="auto"/>
                <w:szCs w:val="24"/>
                <w:lang w:val="en-US" w:eastAsia="zh-CN"/>
              </w:rPr>
              <w:t>2022年更新版</w:t>
            </w:r>
            <w:r>
              <w:rPr>
                <w:rFonts w:hint="default" w:ascii="Times New Roman" w:hAnsi="Times New Roman" w:cs="Times New Roman"/>
                <w:b w:val="0"/>
                <w:bCs w:val="0"/>
                <w:color w:val="auto"/>
                <w:szCs w:val="24"/>
                <w:lang w:eastAsia="zh-CN"/>
              </w:rPr>
              <w:t>）</w:t>
            </w:r>
            <w:r>
              <w:rPr>
                <w:rFonts w:hint="default" w:ascii="Times New Roman" w:hAnsi="Times New Roman" w:cs="Times New Roman"/>
                <w:b w:val="0"/>
                <w:bCs w:val="0"/>
                <w:color w:val="auto"/>
                <w:szCs w:val="24"/>
              </w:rPr>
              <w:t>，本项目与哈尔滨市五常市生态环境管控要求符合性分析见表1-2。本项目按要求采取生态环境保护措施后，符合其管控单元准入要求。</w:t>
            </w:r>
          </w:p>
          <w:p>
            <w:pPr>
              <w:pStyle w:val="69"/>
              <w:adjustRightInd w:val="0"/>
              <w:snapToGrid w:val="0"/>
              <w:spacing w:line="360" w:lineRule="auto"/>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生态环境准入清单符合性分析见表1-</w:t>
            </w: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表1-</w:t>
            </w:r>
            <w:r>
              <w:rPr>
                <w:rFonts w:hint="default" w:ascii="Times New Roman" w:hAnsi="Times New Roman" w:cs="Times New Roman" w:eastAsiaTheme="minorEastAsia"/>
                <w:b/>
                <w:bCs/>
                <w:color w:val="auto"/>
                <w:sz w:val="21"/>
                <w:szCs w:val="24"/>
                <w:lang w:val="en-US" w:eastAsia="zh-CN"/>
              </w:rPr>
              <w:t>2</w:t>
            </w:r>
            <w:r>
              <w:rPr>
                <w:rFonts w:hint="default" w:ascii="Times New Roman" w:hAnsi="Times New Roman" w:cs="Times New Roman" w:eastAsiaTheme="minorEastAsia"/>
                <w:b/>
                <w:bCs/>
                <w:color w:val="auto"/>
                <w:sz w:val="21"/>
                <w:szCs w:val="24"/>
              </w:rPr>
              <w:t xml:space="preserve">  哈尔滨市五常市生态环境准入清单符合性分析</w:t>
            </w:r>
          </w:p>
          <w:tbl>
            <w:tblPr>
              <w:tblStyle w:val="3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652"/>
              <w:gridCol w:w="746"/>
              <w:gridCol w:w="799"/>
              <w:gridCol w:w="2234"/>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管控单元编码</w:t>
                  </w:r>
                </w:p>
              </w:tc>
              <w:tc>
                <w:tcPr>
                  <w:tcW w:w="442"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环境管控单元名称</w:t>
                  </w:r>
                </w:p>
              </w:tc>
              <w:tc>
                <w:tcPr>
                  <w:tcW w:w="506"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管控单元类别</w:t>
                  </w:r>
                </w:p>
              </w:tc>
              <w:tc>
                <w:tcPr>
                  <w:tcW w:w="2060" w:type="pct"/>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管控要求</w:t>
                  </w:r>
                </w:p>
              </w:tc>
              <w:tc>
                <w:tcPr>
                  <w:tcW w:w="1534"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b w:val="0"/>
                      <w:bCs w:val="0"/>
                      <w:snapToGrid w:val="0"/>
                      <w:color w:val="auto"/>
                      <w:kern w:val="0"/>
                      <w:sz w:val="18"/>
                      <w:szCs w:val="18"/>
                    </w:rPr>
                  </w:pPr>
                  <w:r>
                    <w:rPr>
                      <w:rFonts w:hint="default" w:ascii="Times New Roman" w:hAnsi="Times New Roman" w:cs="Times New Roman"/>
                      <w:b w:val="0"/>
                      <w:bCs w:val="0"/>
                      <w:snapToGrid w:val="0"/>
                      <w:color w:val="auto"/>
                      <w:kern w:val="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455"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snapToGrid w:val="0"/>
                      <w:color w:val="auto"/>
                      <w:kern w:val="0"/>
                      <w:sz w:val="18"/>
                      <w:szCs w:val="18"/>
                      <w:lang w:val="zh-CN"/>
                    </w:rPr>
                  </w:pPr>
                  <w:r>
                    <w:rPr>
                      <w:rFonts w:hint="default" w:ascii="Times New Roman" w:hAnsi="Times New Roman" w:eastAsia="TimesNewRomanPSMT" w:cs="Times New Roman"/>
                      <w:color w:val="auto"/>
                      <w:kern w:val="0"/>
                      <w:sz w:val="18"/>
                      <w:szCs w:val="18"/>
                      <w:lang w:val="en-US" w:eastAsia="zh-CN"/>
                    </w:rPr>
                    <w:t>ZH230184 30002</w:t>
                  </w:r>
                </w:p>
              </w:tc>
              <w:tc>
                <w:tcPr>
                  <w:tcW w:w="442"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snapToGrid w:val="0"/>
                      <w:color w:val="auto"/>
                      <w:kern w:val="0"/>
                      <w:sz w:val="18"/>
                      <w:szCs w:val="18"/>
                      <w:lang w:val="zh-CN" w:eastAsia="zh-CN"/>
                    </w:rPr>
                  </w:pPr>
                  <w:r>
                    <w:rPr>
                      <w:rFonts w:hint="default" w:ascii="Times New Roman" w:hAnsi="Times New Roman" w:cs="Times New Roman"/>
                      <w:color w:val="auto"/>
                      <w:kern w:val="0"/>
                      <w:sz w:val="18"/>
                      <w:szCs w:val="18"/>
                      <w:lang w:val="en-US" w:eastAsia="zh-CN"/>
                    </w:rPr>
                    <w:t>其他区域</w:t>
                  </w:r>
                </w:p>
              </w:tc>
              <w:tc>
                <w:tcPr>
                  <w:tcW w:w="506" w:type="pct"/>
                  <w:tcBorders>
                    <w:tl2br w:val="nil"/>
                    <w:tr2bl w:val="nil"/>
                  </w:tcBorders>
                  <w:noWrap w:val="0"/>
                  <w:vAlign w:val="center"/>
                </w:tcPr>
                <w:p>
                  <w:pPr>
                    <w:adjustRightInd w:val="0"/>
                    <w:snapToGrid w:val="0"/>
                    <w:spacing w:line="240" w:lineRule="exact"/>
                    <w:jc w:val="center"/>
                    <w:rPr>
                      <w:rFonts w:hint="default" w:ascii="Times New Roman" w:hAnsi="Times New Roman" w:cs="Times New Roman"/>
                      <w:snapToGrid w:val="0"/>
                      <w:color w:val="auto"/>
                      <w:kern w:val="0"/>
                      <w:sz w:val="18"/>
                      <w:szCs w:val="18"/>
                      <w:lang w:val="zh-CN"/>
                    </w:rPr>
                  </w:pPr>
                  <w:r>
                    <w:rPr>
                      <w:rFonts w:hint="default" w:ascii="Times New Roman" w:hAnsi="Times New Roman" w:cs="Times New Roman"/>
                      <w:color w:val="auto"/>
                      <w:kern w:val="0"/>
                      <w:sz w:val="18"/>
                      <w:szCs w:val="18"/>
                    </w:rPr>
                    <w:t>一般管控单元</w:t>
                  </w:r>
                </w:p>
              </w:tc>
              <w:tc>
                <w:tcPr>
                  <w:tcW w:w="542" w:type="pct"/>
                  <w:tcBorders>
                    <w:tl2br w:val="nil"/>
                    <w:tr2bl w:val="nil"/>
                  </w:tcBorders>
                  <w:noWrap w:val="0"/>
                  <w:vAlign w:val="center"/>
                </w:tcPr>
                <w:p>
                  <w:pPr>
                    <w:adjustRightInd w:val="0"/>
                    <w:snapToGrid w:val="0"/>
                    <w:spacing w:line="240" w:lineRule="exact"/>
                    <w:jc w:val="left"/>
                    <w:rPr>
                      <w:rFonts w:hint="default" w:ascii="Times New Roman" w:hAnsi="Times New Roman" w:cs="Times New Roman"/>
                      <w:snapToGrid w:val="0"/>
                      <w:color w:val="auto"/>
                      <w:kern w:val="0"/>
                      <w:sz w:val="18"/>
                      <w:szCs w:val="18"/>
                      <w:lang w:val="zh-CN"/>
                    </w:rPr>
                  </w:pPr>
                  <w:r>
                    <w:rPr>
                      <w:rFonts w:hint="default" w:ascii="Times New Roman" w:hAnsi="Times New Roman" w:cs="Times New Roman"/>
                      <w:snapToGrid w:val="0"/>
                      <w:color w:val="auto"/>
                      <w:kern w:val="0"/>
                      <w:sz w:val="18"/>
                      <w:szCs w:val="18"/>
                      <w:lang w:val="zh-CN"/>
                    </w:rPr>
                    <w:t>空间布局约束</w:t>
                  </w:r>
                </w:p>
              </w:tc>
              <w:tc>
                <w:tcPr>
                  <w:tcW w:w="1517" w:type="pct"/>
                  <w:tcBorders>
                    <w:tl2br w:val="nil"/>
                    <w:tr2bl w:val="nil"/>
                  </w:tcBorders>
                  <w:noWrap w:val="0"/>
                  <w:vAlign w:val="center"/>
                </w:tcPr>
                <w:p>
                  <w:pPr>
                    <w:adjustRightInd w:val="0"/>
                    <w:snapToGrid w:val="0"/>
                    <w:spacing w:line="240" w:lineRule="exact"/>
                    <w:jc w:val="left"/>
                    <w:rPr>
                      <w:rFonts w:hint="default" w:ascii="Times New Roman" w:hAnsi="Times New Roman" w:cs="Times New Roman"/>
                      <w:snapToGrid w:val="0"/>
                      <w:color w:val="auto"/>
                      <w:kern w:val="0"/>
                      <w:sz w:val="18"/>
                      <w:szCs w:val="18"/>
                      <w:lang w:val="en-US" w:eastAsia="zh-CN"/>
                    </w:rPr>
                  </w:pPr>
                  <w:r>
                    <w:rPr>
                      <w:rFonts w:hint="default" w:ascii="Times New Roman" w:hAnsi="Times New Roman" w:cs="Times New Roman"/>
                      <w:snapToGrid w:val="0"/>
                      <w:color w:val="auto"/>
                      <w:kern w:val="0"/>
                      <w:sz w:val="18"/>
                      <w:szCs w:val="18"/>
                      <w:lang w:val="en-US" w:eastAsia="zh-CN"/>
                    </w:rPr>
                    <w:t>贯彻实施国家与黑龙江省大气、水污染相关各项标准，深化重点行业污染治理，推进国家和地方确定的各项产业结构调整措施</w:t>
                  </w:r>
                  <w:r>
                    <w:rPr>
                      <w:rFonts w:hint="eastAsia" w:cs="Times New Roman"/>
                      <w:snapToGrid w:val="0"/>
                      <w:color w:val="auto"/>
                      <w:kern w:val="0"/>
                      <w:sz w:val="18"/>
                      <w:szCs w:val="18"/>
                      <w:lang w:val="en-US" w:eastAsia="zh-CN"/>
                    </w:rPr>
                    <w:t>：</w:t>
                  </w:r>
                </w:p>
                <w:p>
                  <w:pPr>
                    <w:adjustRightInd w:val="0"/>
                    <w:snapToGrid w:val="0"/>
                    <w:spacing w:line="240" w:lineRule="exact"/>
                    <w:jc w:val="left"/>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lang w:val="en-US" w:eastAsia="zh-CN"/>
                    </w:rPr>
                    <w:t>1、引导工业项目向开发区集中，促进产业集聚、资源集约、绿色发展。2、强化节能环保标准约束，严格行业规范、准入管理好而节能审查，对电力、钢铁、建材、有色、化工、石油石化、煤炭、印染、造纸、染料、焦化、电镀等行业中，环保、能耗、安全等不达标或生产、使用淘汰类产品的企业和产能，要依法依规有序退出。</w:t>
                  </w:r>
                </w:p>
              </w:tc>
              <w:tc>
                <w:tcPr>
                  <w:tcW w:w="1534" w:type="pct"/>
                  <w:tcBorders>
                    <w:tl2br w:val="nil"/>
                    <w:tr2bl w:val="nil"/>
                  </w:tcBorders>
                  <w:noWrap w:val="0"/>
                  <w:vAlign w:val="center"/>
                </w:tcPr>
                <w:p>
                  <w:pPr>
                    <w:adjustRightInd w:val="0"/>
                    <w:snapToGrid w:val="0"/>
                    <w:spacing w:line="240" w:lineRule="exact"/>
                    <w:jc w:val="left"/>
                    <w:rPr>
                      <w:rFonts w:hint="default" w:ascii="Times New Roman" w:hAnsi="Times New Roman" w:cs="Times New Roman"/>
                      <w:snapToGrid w:val="0"/>
                      <w:color w:val="auto"/>
                      <w:kern w:val="0"/>
                      <w:sz w:val="18"/>
                      <w:szCs w:val="18"/>
                    </w:rPr>
                  </w:pPr>
                  <w:r>
                    <w:rPr>
                      <w:rFonts w:hint="default" w:ascii="Times New Roman" w:hAnsi="Times New Roman" w:cs="Times New Roman"/>
                      <w:snapToGrid w:val="0"/>
                      <w:color w:val="auto"/>
                      <w:kern w:val="0"/>
                      <w:sz w:val="18"/>
                      <w:szCs w:val="18"/>
                    </w:rPr>
                    <w:t>本项目为</w:t>
                  </w:r>
                  <w:r>
                    <w:rPr>
                      <w:rFonts w:hint="default" w:ascii="Times New Roman" w:hAnsi="Times New Roman" w:cs="Times New Roman"/>
                      <w:snapToGrid w:val="0"/>
                      <w:color w:val="auto"/>
                      <w:kern w:val="0"/>
                      <w:sz w:val="18"/>
                      <w:szCs w:val="18"/>
                      <w:lang w:val="en-US" w:eastAsia="zh-CN"/>
                    </w:rPr>
                    <w:t>鲜食玉米</w:t>
                  </w:r>
                  <w:r>
                    <w:rPr>
                      <w:rFonts w:hint="default" w:ascii="Times New Roman" w:hAnsi="Times New Roman" w:cs="Times New Roman"/>
                      <w:snapToGrid w:val="0"/>
                      <w:color w:val="auto"/>
                      <w:kern w:val="0"/>
                      <w:sz w:val="18"/>
                      <w:szCs w:val="18"/>
                    </w:rPr>
                    <w:t>加工项目。严格落实本报告提出的环保措施后，本项目污染物均可达标排放。本项目不在当地饮用水源、风景名胜区、自然保护区等生态保护区内，不在“自然资源部办公厅发布《自然资源部办公厅关于辽宁等省（市）启用“三区三线”划定成果作为报批建设项目用地用海依据的函》”中的生态保护红线范围内，本项目符合《哈尔滨市人民政府关于实施“三线一单”生态环境分区管控的意见》(哈政规[2021]7号)中要求。</w:t>
                  </w:r>
                </w:p>
              </w:tc>
            </w:tr>
          </w:tbl>
          <w:p>
            <w:pPr>
              <w:pStyle w:val="37"/>
              <w:spacing w:line="360" w:lineRule="auto"/>
              <w:ind w:firstLine="480" w:firstLineChars="200"/>
              <w:jc w:val="both"/>
              <w:rPr>
                <w:rFonts w:hint="default" w:ascii="Times New Roman" w:hAnsi="Times New Roman" w:eastAsia="宋体" w:cs="Times New Roman"/>
                <w:b w:val="0"/>
                <w:bCs w:val="0"/>
                <w:color w:val="auto"/>
                <w:kern w:val="2"/>
                <w:szCs w:val="24"/>
              </w:rPr>
            </w:pPr>
            <w:r>
              <w:rPr>
                <w:rFonts w:hint="default" w:ascii="Times New Roman" w:hAnsi="Times New Roman" w:eastAsia="宋体" w:cs="Times New Roman"/>
                <w:b w:val="0"/>
                <w:bCs w:val="0"/>
                <w:color w:val="auto"/>
                <w:kern w:val="2"/>
                <w:szCs w:val="24"/>
              </w:rPr>
              <w:t>本项目符合哈尔滨市五常市生态环境准入清单相关要求。</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综上所述，本项目符合“三线一单”相关要求。</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rPr>
            </w:pPr>
            <w:r>
              <w:rPr>
                <w:rFonts w:hint="eastAsia" w:cs="Times New Roman"/>
                <w:b w:val="0"/>
                <w:bCs w:val="0"/>
                <w:color w:val="auto"/>
                <w:kern w:val="0"/>
                <w:sz w:val="24"/>
                <w:szCs w:val="21"/>
                <w:lang w:val="en-US" w:eastAsia="zh-CN"/>
              </w:rPr>
              <w:t>3</w:t>
            </w:r>
            <w:r>
              <w:rPr>
                <w:rFonts w:hint="default" w:ascii="Times New Roman" w:hAnsi="Times New Roman" w:eastAsia="宋体" w:cs="Times New Roman"/>
                <w:b w:val="0"/>
                <w:bCs w:val="0"/>
                <w:color w:val="auto"/>
                <w:kern w:val="0"/>
                <w:sz w:val="24"/>
                <w:szCs w:val="21"/>
              </w:rPr>
              <w:t>、与《黑龙江省大气污染防治条例》符合性分析</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rPr>
            </w:pPr>
            <w:r>
              <w:rPr>
                <w:rFonts w:hint="default" w:ascii="Times New Roman" w:hAnsi="Times New Roman" w:eastAsia="宋体" w:cs="Times New Roman"/>
                <w:b w:val="0"/>
                <w:bCs w:val="0"/>
                <w:color w:val="auto"/>
                <w:kern w:val="0"/>
                <w:sz w:val="24"/>
                <w:szCs w:val="21"/>
              </w:rPr>
              <w:t>根据《黑龙江省大气污染防治条例》，工业和信息化部门负责工业节能降耗，淘汰落后产能，推进工业锅炉升级改造和清洁生产，燃煤电厂、燃煤供热锅炉以及其他燃煤单位，应当采用清洁生产工艺，配套建设除尘、脱硫、脱硝等装置或者采用技术改造等措施，减少大气污染物的产生和排放，排放的大气污染物应当达到规定标准。</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rPr>
            </w:pPr>
            <w:r>
              <w:rPr>
                <w:rFonts w:hint="default" w:ascii="Times New Roman" w:hAnsi="Times New Roman" w:cs="Times New Roman"/>
                <w:b w:val="0"/>
                <w:bCs w:val="0"/>
                <w:kern w:val="0"/>
                <w:sz w:val="24"/>
              </w:rPr>
              <w:t>本项目</w:t>
            </w:r>
            <w:r>
              <w:rPr>
                <w:rFonts w:hint="eastAsia" w:cs="Times New Roman"/>
                <w:b w:val="0"/>
                <w:bCs w:val="0"/>
                <w:kern w:val="0"/>
                <w:sz w:val="24"/>
                <w:lang w:val="en-US" w:eastAsia="zh-CN"/>
              </w:rPr>
              <w:t>4t/h、6t/h燃生物质蒸汽锅炉产生的烟气经1台布袋除尘器处理后经1根35m高</w:t>
            </w:r>
            <w:r>
              <w:rPr>
                <w:rFonts w:hint="default" w:ascii="Times New Roman" w:hAnsi="Times New Roman" w:cs="Times New Roman"/>
                <w:b w:val="0"/>
                <w:bCs w:val="0"/>
                <w:kern w:val="0"/>
                <w:sz w:val="24"/>
              </w:rPr>
              <w:t>烟囱（DA001）排放，布袋除尘器处理效率为</w:t>
            </w:r>
            <w:r>
              <w:rPr>
                <w:rFonts w:hint="eastAsia" w:cs="Times New Roman"/>
                <w:b w:val="0"/>
                <w:bCs w:val="0"/>
                <w:kern w:val="0"/>
                <w:sz w:val="24"/>
                <w:lang w:eastAsia="zh-CN"/>
              </w:rPr>
              <w:t>99.2%</w:t>
            </w:r>
            <w:r>
              <w:rPr>
                <w:rFonts w:hint="default" w:ascii="Times New Roman" w:hAnsi="Times New Roman" w:cs="Times New Roman"/>
                <w:b w:val="0"/>
                <w:bCs w:val="0"/>
                <w:kern w:val="0"/>
                <w:sz w:val="24"/>
              </w:rPr>
              <w:t>，满足《锅炉大气污染物排放标准》（GB13271-2014）</w:t>
            </w:r>
            <w:r>
              <w:rPr>
                <w:rFonts w:hint="default" w:ascii="Times New Roman" w:hAnsi="Times New Roman" w:cs="Times New Roman"/>
                <w:b w:val="0"/>
                <w:bCs w:val="0"/>
                <w:kern w:val="0"/>
                <w:sz w:val="24"/>
                <w:lang w:eastAsia="zh-CN"/>
              </w:rPr>
              <w:t>表3大气污染物特别排放限值中燃煤锅炉标准</w:t>
            </w:r>
            <w:r>
              <w:rPr>
                <w:rFonts w:hint="default" w:ascii="Times New Roman" w:hAnsi="Times New Roman" w:cs="Times New Roman"/>
                <w:b w:val="0"/>
                <w:bCs w:val="0"/>
                <w:kern w:val="0"/>
                <w:sz w:val="24"/>
              </w:rPr>
              <w:t>中燃煤锅炉要求</w:t>
            </w:r>
            <w:r>
              <w:rPr>
                <w:rFonts w:hint="default" w:ascii="Times New Roman" w:hAnsi="Times New Roman" w:eastAsia="宋体" w:cs="Times New Roman"/>
                <w:b w:val="0"/>
                <w:bCs w:val="0"/>
                <w:color w:val="auto"/>
                <w:kern w:val="0"/>
                <w:sz w:val="24"/>
                <w:szCs w:val="21"/>
              </w:rPr>
              <w:t>。</w:t>
            </w:r>
            <w:r>
              <w:rPr>
                <w:rFonts w:hint="default" w:ascii="Times New Roman" w:hAnsi="Times New Roman" w:eastAsia="宋体" w:cs="Times New Roman"/>
                <w:b w:val="0"/>
                <w:bCs w:val="0"/>
                <w:color w:val="auto"/>
                <w:kern w:val="0"/>
                <w:sz w:val="24"/>
                <w:szCs w:val="21"/>
                <w:lang w:val="en-US" w:eastAsia="zh-CN"/>
              </w:rPr>
              <w:t>厂界颗粒物排放满足《大气污染物综合排放标准》（GB16297-1996）标准的要求。</w:t>
            </w:r>
            <w:r>
              <w:rPr>
                <w:rFonts w:hint="default" w:ascii="Times New Roman" w:hAnsi="Times New Roman" w:eastAsia="宋体" w:cs="Times New Roman"/>
                <w:b w:val="0"/>
                <w:bCs w:val="0"/>
                <w:color w:val="auto"/>
                <w:kern w:val="0"/>
                <w:sz w:val="24"/>
                <w:szCs w:val="21"/>
              </w:rPr>
              <w:t>因此本项目建设符合《黑龙江省大气污染防治条例》相关要求。</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bookmarkStart w:id="5" w:name="_Toc21702"/>
            <w:bookmarkStart w:id="6" w:name="_Toc8034"/>
            <w:bookmarkStart w:id="7" w:name="_Toc30556"/>
            <w:bookmarkStart w:id="8" w:name="_Toc13061"/>
            <w:r>
              <w:rPr>
                <w:rFonts w:hint="eastAsia" w:cs="Times New Roman"/>
                <w:b w:val="0"/>
                <w:bCs w:val="0"/>
                <w:color w:val="auto"/>
                <w:kern w:val="0"/>
                <w:sz w:val="24"/>
                <w:szCs w:val="21"/>
                <w:lang w:val="en-US" w:eastAsia="zh-CN"/>
              </w:rPr>
              <w:t>4</w:t>
            </w:r>
            <w:r>
              <w:rPr>
                <w:rFonts w:hint="default" w:ascii="Times New Roman" w:hAnsi="Times New Roman" w:eastAsia="宋体" w:cs="Times New Roman"/>
                <w:b w:val="0"/>
                <w:bCs w:val="0"/>
                <w:color w:val="auto"/>
                <w:kern w:val="0"/>
                <w:sz w:val="24"/>
                <w:szCs w:val="21"/>
                <w:lang w:val="en-US" w:eastAsia="zh-CN"/>
              </w:rPr>
              <w:t>、与《黑龙江省散煤污染治理“三重一改”攻坚行动实施方(2020-2022年)的通知》符合性</w:t>
            </w:r>
            <w:bookmarkEnd w:id="5"/>
            <w:bookmarkEnd w:id="6"/>
            <w:bookmarkEnd w:id="7"/>
            <w:bookmarkEnd w:id="8"/>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散煤减量目标：到2022年，重点地区散煤用量大幅下降。哈尔滨市削减替代散煤195万吨，主城区实现47万吨散煤“清零”，其中，削减散煤13.7万吨，实施清洁能源及洁净燃料替代33.3万吨；绥化市、肇州县和肇源县分别削减替代散煤86万吨、4万吨和5万吨。</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本项目位于</w:t>
            </w:r>
            <w:r>
              <w:rPr>
                <w:rFonts w:hint="eastAsia" w:cs="Times New Roman"/>
                <w:b w:val="0"/>
                <w:bCs w:val="0"/>
                <w:color w:val="auto"/>
                <w:kern w:val="0"/>
                <w:sz w:val="24"/>
                <w:szCs w:val="21"/>
                <w:lang w:val="en-US" w:eastAsia="zh-CN"/>
              </w:rPr>
              <w:t>黑龙江省哈尔滨市五常市八家子乡八家子村</w:t>
            </w:r>
            <w:r>
              <w:rPr>
                <w:rFonts w:hint="default" w:ascii="Times New Roman" w:hAnsi="Times New Roman" w:eastAsia="宋体" w:cs="Times New Roman"/>
                <w:b w:val="0"/>
                <w:bCs w:val="0"/>
                <w:color w:val="auto"/>
                <w:kern w:val="0"/>
                <w:sz w:val="24"/>
                <w:szCs w:val="21"/>
                <w:lang w:val="en-US" w:eastAsia="zh-CN"/>
              </w:rPr>
              <w:t>，燃料为生物质，为清洁能源，符合《黑龙江省散煤污染治理“三重一改”攻坚行动实施方(2020-2022年)的通知》要求。</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eastAsia" w:cs="Times New Roman"/>
                <w:b w:val="0"/>
                <w:bCs w:val="0"/>
                <w:color w:val="auto"/>
                <w:kern w:val="0"/>
                <w:sz w:val="24"/>
                <w:szCs w:val="21"/>
                <w:lang w:val="en-US" w:eastAsia="zh-CN"/>
              </w:rPr>
              <w:t>5</w:t>
            </w:r>
            <w:r>
              <w:rPr>
                <w:rFonts w:hint="default" w:ascii="Times New Roman" w:hAnsi="Times New Roman" w:eastAsia="宋体" w:cs="Times New Roman"/>
                <w:b w:val="0"/>
                <w:bCs w:val="0"/>
                <w:color w:val="auto"/>
                <w:kern w:val="0"/>
                <w:sz w:val="24"/>
                <w:szCs w:val="21"/>
                <w:lang w:val="en-US" w:eastAsia="zh-CN"/>
              </w:rPr>
              <w:t>、与</w:t>
            </w:r>
            <w:r>
              <w:rPr>
                <w:rFonts w:hint="eastAsia" w:cs="Times New Roman"/>
                <w:b w:val="0"/>
                <w:bCs w:val="0"/>
                <w:color w:val="auto"/>
                <w:kern w:val="0"/>
                <w:sz w:val="24"/>
                <w:szCs w:val="21"/>
                <w:lang w:val="en-US" w:eastAsia="zh-CN"/>
              </w:rPr>
              <w:t>《哈尔滨市大气环境质量限期达标规划（2020-2027年）》</w:t>
            </w:r>
            <w:r>
              <w:rPr>
                <w:rFonts w:hint="default" w:ascii="Times New Roman" w:hAnsi="Times New Roman" w:eastAsia="宋体" w:cs="Times New Roman"/>
                <w:b w:val="0"/>
                <w:bCs w:val="0"/>
                <w:color w:val="auto"/>
                <w:kern w:val="0"/>
                <w:sz w:val="24"/>
                <w:szCs w:val="21"/>
                <w:lang w:val="en-US" w:eastAsia="zh-CN"/>
              </w:rPr>
              <w:t xml:space="preserve">符合性分析   </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w:t>
            </w:r>
            <w:r>
              <w:rPr>
                <w:rFonts w:hint="eastAsia" w:cs="Times New Roman"/>
                <w:b w:val="0"/>
                <w:bCs w:val="0"/>
                <w:color w:val="auto"/>
                <w:kern w:val="0"/>
                <w:sz w:val="24"/>
                <w:szCs w:val="21"/>
                <w:lang w:val="en-US" w:eastAsia="zh-CN"/>
              </w:rPr>
              <w:t>哈尔滨市大气环境质量限期达标规划（2020-2027年）</w:t>
            </w:r>
            <w:r>
              <w:rPr>
                <w:rFonts w:hint="default" w:ascii="Times New Roman" w:hAnsi="Times New Roman" w:eastAsia="宋体" w:cs="Times New Roman"/>
                <w:b w:val="0"/>
                <w:bCs w:val="0"/>
                <w:color w:val="auto"/>
                <w:kern w:val="0"/>
                <w:sz w:val="24"/>
                <w:szCs w:val="21"/>
                <w:lang w:val="en-US" w:eastAsia="zh-CN"/>
              </w:rPr>
              <w:t>》重点任务坚决遏制高耗能高排放项目盲目发展：严把高耗能高排放项目准入关口，严格落实污染物排放区域削减要求，对不符合规定的项目坚决停批停建。严禁新增钢铁、焦化、铸造、水泥、平板玻璃等产能，严格执行产能置换实施办法。禁止建设生产 VOCs 含量限值不符合国家标准的涂料、油墨、胶粘剂、清洗剂等项目。</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本项目为</w:t>
            </w:r>
            <w:r>
              <w:rPr>
                <w:rFonts w:hint="default" w:ascii="Times New Roman" w:hAnsi="Times New Roman" w:cs="Times New Roman"/>
                <w:b w:val="0"/>
                <w:bCs w:val="0"/>
                <w:color w:val="auto"/>
                <w:kern w:val="0"/>
                <w:sz w:val="24"/>
                <w:szCs w:val="21"/>
                <w:lang w:val="en-US" w:eastAsia="zh-CN"/>
              </w:rPr>
              <w:t>鲜食玉米</w:t>
            </w:r>
            <w:r>
              <w:rPr>
                <w:rFonts w:hint="default" w:ascii="Times New Roman" w:hAnsi="Times New Roman" w:eastAsia="宋体" w:cs="Times New Roman"/>
                <w:b w:val="0"/>
                <w:bCs w:val="0"/>
                <w:color w:val="auto"/>
                <w:kern w:val="0"/>
                <w:sz w:val="24"/>
                <w:szCs w:val="21"/>
                <w:lang w:val="en-US" w:eastAsia="zh-CN"/>
              </w:rPr>
              <w:t>加工</w:t>
            </w:r>
            <w:r>
              <w:rPr>
                <w:rFonts w:hint="default" w:ascii="Times New Roman" w:hAnsi="Times New Roman" w:cs="Times New Roman"/>
                <w:b w:val="0"/>
                <w:bCs w:val="0"/>
                <w:color w:val="auto"/>
                <w:kern w:val="0"/>
                <w:sz w:val="24"/>
                <w:szCs w:val="21"/>
                <w:lang w:val="en-US" w:eastAsia="zh-CN"/>
              </w:rPr>
              <w:t>项目</w:t>
            </w:r>
            <w:r>
              <w:rPr>
                <w:rFonts w:hint="default" w:ascii="Times New Roman" w:hAnsi="Times New Roman" w:eastAsia="宋体" w:cs="Times New Roman"/>
                <w:b w:val="0"/>
                <w:bCs w:val="0"/>
                <w:color w:val="auto"/>
                <w:kern w:val="0"/>
                <w:sz w:val="24"/>
                <w:szCs w:val="21"/>
                <w:lang w:val="en-US" w:eastAsia="zh-CN"/>
              </w:rPr>
              <w:t>，不属于高耗能高排放项目，符合</w:t>
            </w:r>
            <w:r>
              <w:rPr>
                <w:rFonts w:hint="eastAsia" w:cs="Times New Roman"/>
                <w:b w:val="0"/>
                <w:bCs w:val="0"/>
                <w:color w:val="auto"/>
                <w:kern w:val="0"/>
                <w:sz w:val="24"/>
                <w:szCs w:val="21"/>
                <w:lang w:val="en-US" w:eastAsia="zh-CN"/>
              </w:rPr>
              <w:t>《哈尔滨市大气环境质量限期达标规划（2020-2027年）》</w:t>
            </w:r>
            <w:r>
              <w:rPr>
                <w:rFonts w:hint="default" w:ascii="Times New Roman" w:hAnsi="Times New Roman" w:eastAsia="宋体" w:cs="Times New Roman"/>
                <w:b w:val="0"/>
                <w:bCs w:val="0"/>
                <w:color w:val="auto"/>
                <w:kern w:val="0"/>
                <w:sz w:val="24"/>
                <w:szCs w:val="21"/>
                <w:lang w:val="en-US" w:eastAsia="zh-CN"/>
              </w:rPr>
              <w:t>。</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eastAsia" w:cs="Times New Roman"/>
                <w:b w:val="0"/>
                <w:bCs w:val="0"/>
                <w:color w:val="auto"/>
                <w:kern w:val="0"/>
                <w:sz w:val="24"/>
                <w:szCs w:val="21"/>
                <w:lang w:val="en-US" w:eastAsia="zh-CN"/>
              </w:rPr>
              <w:t>6</w:t>
            </w:r>
            <w:r>
              <w:rPr>
                <w:rFonts w:hint="default" w:ascii="Times New Roman" w:hAnsi="Times New Roman" w:eastAsia="宋体" w:cs="Times New Roman"/>
                <w:b w:val="0"/>
                <w:bCs w:val="0"/>
                <w:color w:val="auto"/>
                <w:kern w:val="0"/>
                <w:sz w:val="24"/>
                <w:szCs w:val="21"/>
                <w:lang w:val="en-US" w:eastAsia="zh-CN"/>
              </w:rPr>
              <w:t>、与《哈尔滨市空气质量改善三年行动计划（2022-2024年）》符合性分析</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根据《哈尔滨市空气质量改善三年行动计划（2022-2024年）》二、重点工作任务中：(一)优化调整能源结构，建设清洁低碳能源体系1.推动能源清洁化发展。以碳达峰碳中和为契机，推动能源结构绿色低碳转型，提升非化石能源和天然气使用比例。大力发展太阳能、风能、生物质能等清洁能源，探索发展氢能，有序发展抽水蓄能和新型储能规模化应用，坚持“增气减煤”同步，天然气供应优先保障居民生活和清洁取暖，增加清洁电力供给，提高电能占终端能源消费比重。加快建设清洁能源城市，加大电力、天然气基础设施建设，保障煤改电、煤改气等能源需求。到2024年，单位GDP能耗下降12%，非化石能源占一次能源消费比重达到 12%以上。</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eastAsia="宋体" w:cs="Times New Roman"/>
                <w:b w:val="0"/>
                <w:bCs w:val="0"/>
                <w:color w:val="auto"/>
                <w:kern w:val="0"/>
                <w:sz w:val="24"/>
                <w:szCs w:val="21"/>
                <w:lang w:val="en-US" w:eastAsia="zh-CN"/>
              </w:rPr>
              <w:t>4.深化炉窑污染治理。原则上，新建涉气工业炉窑项目入园区须配套建设高效环保治理设施。动态调整工业炉窑清单，分类明确工业炉窑综合治理技术路线，加快推进以煤、石油焦、渣油、重油等为燃料的工业炉窑用能转型。坚持增气减煤、以电代煤、充分利用工厂余热、电厂热力等进行替代非清洁能源。严格控制工业炉窑生产工业过程及相关物料、输送等物质排放，有效提高其工业废气收集率。到2024年，全面淘汰铸造(10吨/小时及以下)、岩棉等行业冲天炉，基本淘汰热电联产供热管网覆盖范围内燃煤加热的烘干炉窑，取缔燃煤热风炉，基本完成全市以煤为燃料的炉窑清洁燃料替代改造。</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lang w:val="en-US" w:eastAsia="zh-CN"/>
              </w:rPr>
            </w:pPr>
            <w:r>
              <w:rPr>
                <w:rFonts w:hint="default" w:ascii="Times New Roman" w:hAnsi="Times New Roman" w:cs="Times New Roman"/>
                <w:b w:val="0"/>
                <w:bCs w:val="0"/>
                <w:kern w:val="0"/>
                <w:sz w:val="24"/>
              </w:rPr>
              <w:t>本项目</w:t>
            </w:r>
            <w:r>
              <w:rPr>
                <w:rFonts w:hint="eastAsia" w:cs="Times New Roman"/>
                <w:b w:val="0"/>
                <w:bCs w:val="0"/>
                <w:kern w:val="0"/>
                <w:sz w:val="24"/>
                <w:lang w:val="en-US" w:eastAsia="zh-CN"/>
              </w:rPr>
              <w:t>4t/h、6t/h燃生物质蒸汽锅炉产生的烟气经1台布袋除尘器处理后经1根35m高</w:t>
            </w:r>
            <w:r>
              <w:rPr>
                <w:rFonts w:hint="default" w:ascii="Times New Roman" w:hAnsi="Times New Roman" w:cs="Times New Roman"/>
                <w:b w:val="0"/>
                <w:bCs w:val="0"/>
                <w:kern w:val="0"/>
                <w:sz w:val="24"/>
              </w:rPr>
              <w:t>烟囱（DA001）排放，布袋除尘器处理效率为</w:t>
            </w:r>
            <w:r>
              <w:rPr>
                <w:rFonts w:hint="eastAsia" w:cs="Times New Roman"/>
                <w:b w:val="0"/>
                <w:bCs w:val="0"/>
                <w:kern w:val="0"/>
                <w:sz w:val="24"/>
                <w:lang w:eastAsia="zh-CN"/>
              </w:rPr>
              <w:t>99.2%</w:t>
            </w:r>
            <w:r>
              <w:rPr>
                <w:rFonts w:hint="default" w:ascii="Times New Roman" w:hAnsi="Times New Roman" w:cs="Times New Roman"/>
                <w:b w:val="0"/>
                <w:bCs w:val="0"/>
                <w:kern w:val="0"/>
                <w:sz w:val="24"/>
              </w:rPr>
              <w:t>，满足《锅炉大气污染物排放标准》（GB13271-2014）</w:t>
            </w:r>
            <w:r>
              <w:rPr>
                <w:rFonts w:hint="default" w:ascii="Times New Roman" w:hAnsi="Times New Roman" w:cs="Times New Roman"/>
                <w:b w:val="0"/>
                <w:bCs w:val="0"/>
                <w:kern w:val="0"/>
                <w:sz w:val="24"/>
                <w:lang w:eastAsia="zh-CN"/>
              </w:rPr>
              <w:t>表3大气污染物特别排放限值中燃煤锅炉标准</w:t>
            </w:r>
            <w:r>
              <w:rPr>
                <w:rFonts w:hint="default" w:ascii="Times New Roman" w:hAnsi="Times New Roman" w:cs="Times New Roman"/>
                <w:b w:val="0"/>
                <w:bCs w:val="0"/>
                <w:kern w:val="0"/>
                <w:sz w:val="24"/>
              </w:rPr>
              <w:t>中燃煤锅炉要求</w:t>
            </w:r>
            <w:r>
              <w:rPr>
                <w:rFonts w:hint="default" w:ascii="Times New Roman" w:hAnsi="Times New Roman" w:eastAsia="宋体" w:cs="Times New Roman"/>
                <w:b w:val="0"/>
                <w:bCs w:val="0"/>
                <w:color w:val="auto"/>
                <w:kern w:val="0"/>
                <w:sz w:val="24"/>
                <w:szCs w:val="21"/>
              </w:rPr>
              <w:t>。</w:t>
            </w:r>
            <w:r>
              <w:rPr>
                <w:rFonts w:hint="default" w:ascii="Times New Roman" w:hAnsi="Times New Roman" w:eastAsia="宋体" w:cs="Times New Roman"/>
                <w:b w:val="0"/>
                <w:bCs w:val="0"/>
                <w:color w:val="auto"/>
                <w:kern w:val="0"/>
                <w:sz w:val="24"/>
                <w:szCs w:val="21"/>
                <w:lang w:val="en-US" w:eastAsia="zh-CN"/>
              </w:rPr>
              <w:t>厂界颗粒物排放满足《大气污染物综合排放标准》（GB16297-1996）标准的要求，因此本项目建设符合《哈尔滨市空气质量改善三年行动计划（2022-2024年）》相关要求。</w:t>
            </w:r>
          </w:p>
          <w:p>
            <w:pPr>
              <w:keepNext w:val="0"/>
              <w:keepLines w:val="0"/>
              <w:pageBreakBefore w:val="0"/>
              <w:widowControl w:val="0"/>
              <w:shd w:val="clear"/>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1"/>
              </w:rPr>
            </w:pPr>
            <w:r>
              <w:rPr>
                <w:rFonts w:hint="eastAsia" w:cs="Times New Roman"/>
                <w:b w:val="0"/>
                <w:bCs w:val="0"/>
                <w:color w:val="auto"/>
                <w:kern w:val="0"/>
                <w:sz w:val="24"/>
                <w:szCs w:val="21"/>
                <w:lang w:val="en-US" w:eastAsia="zh-CN"/>
              </w:rPr>
              <w:t>7</w:t>
            </w:r>
            <w:r>
              <w:rPr>
                <w:rFonts w:hint="default" w:ascii="Times New Roman" w:hAnsi="Times New Roman" w:eastAsia="宋体" w:cs="Times New Roman"/>
                <w:b w:val="0"/>
                <w:bCs w:val="0"/>
                <w:color w:val="auto"/>
                <w:kern w:val="0"/>
                <w:sz w:val="24"/>
                <w:szCs w:val="21"/>
              </w:rPr>
              <w:t>、选址合理性分析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kern w:val="0"/>
                <w:sz w:val="24"/>
                <w:lang w:eastAsia="zh-CN"/>
              </w:rPr>
            </w:pPr>
            <w:r>
              <w:rPr>
                <w:rFonts w:hint="default" w:ascii="Times New Roman" w:hAnsi="Times New Roman" w:eastAsia="宋体" w:cs="Times New Roman"/>
                <w:b w:val="0"/>
                <w:bCs w:val="0"/>
                <w:kern w:val="0"/>
                <w:sz w:val="24"/>
                <w:lang w:eastAsia="zh-CN"/>
              </w:rPr>
              <w:t>（1）本项目</w:t>
            </w:r>
            <w:r>
              <w:rPr>
                <w:rFonts w:hint="eastAsia" w:cs="Times New Roman"/>
                <w:b w:val="0"/>
                <w:bCs w:val="0"/>
                <w:kern w:val="0"/>
                <w:sz w:val="24"/>
                <w:lang w:eastAsia="zh-CN"/>
              </w:rPr>
              <w:t>位于</w:t>
            </w:r>
            <w:r>
              <w:rPr>
                <w:rFonts w:hint="eastAsia" w:cs="Times New Roman"/>
                <w:b w:val="0"/>
                <w:bCs w:val="0"/>
                <w:kern w:val="0"/>
                <w:sz w:val="24"/>
                <w:lang w:val="en-US" w:eastAsia="zh-CN"/>
              </w:rPr>
              <w:t>黑龙江省哈尔滨市五常市八家子乡八家子村</w:t>
            </w:r>
            <w:r>
              <w:rPr>
                <w:rFonts w:hint="default" w:ascii="Times New Roman" w:hAnsi="Times New Roman" w:eastAsia="宋体" w:cs="Times New Roman"/>
                <w:b w:val="0"/>
                <w:bCs w:val="0"/>
                <w:kern w:val="0"/>
                <w:sz w:val="24"/>
                <w:lang w:eastAsia="zh-CN"/>
              </w:rPr>
              <w:t>，用地性质为建设用地，厂界东侧为</w:t>
            </w:r>
            <w:r>
              <w:rPr>
                <w:rFonts w:hint="eastAsia" w:cs="Times New Roman"/>
                <w:b w:val="0"/>
                <w:bCs w:val="0"/>
                <w:kern w:val="0"/>
                <w:sz w:val="24"/>
                <w:lang w:eastAsia="zh-CN"/>
              </w:rPr>
              <w:t>中华豆业，西侧、</w:t>
            </w:r>
            <w:r>
              <w:rPr>
                <w:rFonts w:hint="default" w:ascii="Times New Roman" w:hAnsi="Times New Roman" w:eastAsia="宋体" w:cs="Times New Roman"/>
                <w:b w:val="0"/>
                <w:bCs w:val="0"/>
                <w:kern w:val="0"/>
                <w:sz w:val="24"/>
                <w:lang w:eastAsia="zh-CN"/>
              </w:rPr>
              <w:t>南侧</w:t>
            </w:r>
            <w:r>
              <w:rPr>
                <w:rFonts w:hint="eastAsia" w:cs="Times New Roman"/>
                <w:b w:val="0"/>
                <w:bCs w:val="0"/>
                <w:kern w:val="0"/>
                <w:sz w:val="24"/>
                <w:lang w:eastAsia="zh-CN"/>
              </w:rPr>
              <w:t>、北侧</w:t>
            </w:r>
            <w:r>
              <w:rPr>
                <w:rFonts w:hint="default" w:ascii="Times New Roman" w:hAnsi="Times New Roman" w:eastAsia="宋体" w:cs="Times New Roman"/>
                <w:b w:val="0"/>
                <w:bCs w:val="0"/>
                <w:kern w:val="0"/>
                <w:sz w:val="24"/>
                <w:lang w:eastAsia="zh-CN"/>
              </w:rPr>
              <w:t>为</w:t>
            </w:r>
            <w:r>
              <w:rPr>
                <w:rFonts w:hint="eastAsia" w:cs="Times New Roman"/>
                <w:b w:val="0"/>
                <w:bCs w:val="0"/>
                <w:kern w:val="0"/>
                <w:sz w:val="24"/>
                <w:lang w:val="en-US" w:eastAsia="zh-CN"/>
              </w:rPr>
              <w:t>八家子村民房</w:t>
            </w:r>
            <w:r>
              <w:rPr>
                <w:rFonts w:hint="default" w:ascii="Times New Roman" w:hAnsi="Times New Roman" w:eastAsia="宋体" w:cs="Times New Roman"/>
                <w:b w:val="0"/>
                <w:bCs w:val="0"/>
                <w:kern w:val="0"/>
                <w:sz w:val="24"/>
                <w:lang w:eastAsia="zh-CN"/>
              </w:rPr>
              <w:t>，项目选址不属于生活饮用水源地和地下水补给区、风景名胜区、温泉疗养区、水产养殖区、基本农田保护区、自然保护区等需要特殊保护区域。</w:t>
            </w:r>
          </w:p>
          <w:p>
            <w:pPr>
              <w:autoSpaceDE w:val="0"/>
              <w:autoSpaceDN w:val="0"/>
              <w:adjustRightInd w:val="0"/>
              <w:snapToGrid w:val="0"/>
              <w:spacing w:line="360" w:lineRule="auto"/>
              <w:ind w:firstLine="480" w:firstLineChars="200"/>
              <w:rPr>
                <w:rFonts w:hint="default" w:ascii="Times New Roman" w:hAnsi="Times New Roman" w:cs="Times New Roman"/>
                <w:b w:val="0"/>
                <w:bCs w:val="0"/>
                <w:color w:val="auto"/>
                <w:kern w:val="0"/>
                <w:sz w:val="24"/>
              </w:rPr>
            </w:pPr>
            <w:r>
              <w:rPr>
                <w:rFonts w:hint="default" w:ascii="Times New Roman" w:hAnsi="Times New Roman" w:cs="Times New Roman"/>
                <w:b w:val="0"/>
                <w:bCs w:val="0"/>
                <w:color w:val="auto"/>
                <w:kern w:val="0"/>
                <w:sz w:val="24"/>
                <w:szCs w:val="21"/>
              </w:rPr>
              <w:t>（2）</w:t>
            </w:r>
            <w:r>
              <w:rPr>
                <w:rFonts w:hint="default" w:ascii="Times New Roman" w:hAnsi="Times New Roman" w:cs="Times New Roman"/>
                <w:b w:val="0"/>
                <w:bCs w:val="0"/>
                <w:color w:val="auto"/>
                <w:kern w:val="0"/>
                <w:sz w:val="24"/>
              </w:rPr>
              <w:t>项目运营过程中产生的设备噪声、烟尘、二氧化硫、氮氧化物等对周围环境将产生一定影响，本项目</w:t>
            </w:r>
            <w:r>
              <w:rPr>
                <w:rFonts w:hint="eastAsia" w:cs="Times New Roman"/>
                <w:b w:val="0"/>
                <w:bCs w:val="0"/>
                <w:color w:val="auto"/>
                <w:kern w:val="0"/>
                <w:sz w:val="24"/>
                <w:lang w:val="en-US" w:eastAsia="zh-CN"/>
              </w:rPr>
              <w:t>4t/h、6t/h燃生物质蒸汽锅炉产生的烟气经1台布袋除尘器处理后经1根35m高</w:t>
            </w:r>
            <w:r>
              <w:rPr>
                <w:rFonts w:hint="default" w:ascii="Times New Roman" w:hAnsi="Times New Roman" w:cs="Times New Roman"/>
                <w:b w:val="0"/>
                <w:bCs w:val="0"/>
                <w:color w:val="auto"/>
                <w:kern w:val="0"/>
                <w:sz w:val="24"/>
              </w:rPr>
              <w:t>烟囱</w:t>
            </w:r>
            <w:r>
              <w:rPr>
                <w:rFonts w:hint="default" w:ascii="Times New Roman" w:hAnsi="Times New Roman" w:cs="Times New Roman"/>
                <w:b w:val="0"/>
                <w:bCs w:val="0"/>
                <w:kern w:val="0"/>
                <w:sz w:val="24"/>
              </w:rPr>
              <w:t>（DA001）排放，布袋除尘器处理效率为</w:t>
            </w:r>
            <w:r>
              <w:rPr>
                <w:rFonts w:hint="eastAsia" w:cs="Times New Roman"/>
                <w:b w:val="0"/>
                <w:bCs w:val="0"/>
                <w:kern w:val="0"/>
                <w:sz w:val="24"/>
                <w:lang w:eastAsia="zh-CN"/>
              </w:rPr>
              <w:t>99.2%</w:t>
            </w:r>
            <w:r>
              <w:rPr>
                <w:rFonts w:hint="default" w:ascii="Times New Roman" w:hAnsi="Times New Roman" w:cs="Times New Roman"/>
                <w:b w:val="0"/>
                <w:bCs w:val="0"/>
                <w:kern w:val="0"/>
                <w:sz w:val="24"/>
              </w:rPr>
              <w:t>，满足《锅炉大气污染物排放标准》（GB13271-2014）</w:t>
            </w:r>
            <w:r>
              <w:rPr>
                <w:rFonts w:hint="default" w:ascii="Times New Roman" w:hAnsi="Times New Roman" w:cs="Times New Roman"/>
                <w:b w:val="0"/>
                <w:bCs w:val="0"/>
                <w:kern w:val="0"/>
                <w:sz w:val="24"/>
                <w:lang w:eastAsia="zh-CN"/>
              </w:rPr>
              <w:t>表3大气污染物特别排放限值中燃煤锅炉标准</w:t>
            </w:r>
            <w:r>
              <w:rPr>
                <w:rFonts w:hint="default" w:ascii="Times New Roman" w:hAnsi="Times New Roman" w:cs="Times New Roman"/>
                <w:b w:val="0"/>
                <w:bCs w:val="0"/>
                <w:kern w:val="0"/>
                <w:sz w:val="24"/>
              </w:rPr>
              <w:t>中燃煤锅炉要求</w:t>
            </w:r>
            <w:r>
              <w:rPr>
                <w:rFonts w:hint="default" w:ascii="Times New Roman" w:hAnsi="Times New Roman" w:eastAsia="宋体" w:cs="Times New Roman"/>
                <w:b w:val="0"/>
                <w:bCs w:val="0"/>
                <w:color w:val="auto"/>
                <w:kern w:val="0"/>
                <w:sz w:val="24"/>
                <w:szCs w:val="21"/>
              </w:rPr>
              <w:t>。</w:t>
            </w:r>
            <w:r>
              <w:rPr>
                <w:rFonts w:hint="default" w:ascii="Times New Roman" w:hAnsi="Times New Roman" w:eastAsia="宋体" w:cs="Times New Roman"/>
                <w:b w:val="0"/>
                <w:bCs w:val="0"/>
                <w:color w:val="auto"/>
                <w:kern w:val="0"/>
                <w:sz w:val="24"/>
                <w:szCs w:val="21"/>
                <w:lang w:val="en-US" w:eastAsia="zh-CN"/>
              </w:rPr>
              <w:t>厂界颗粒物排放满足《大气污染物综合排放标准》（GB16297-1996）标准的要求，</w:t>
            </w:r>
            <w:r>
              <w:rPr>
                <w:rFonts w:hint="default" w:ascii="Times New Roman" w:hAnsi="Times New Roman" w:cs="Times New Roman"/>
                <w:b w:val="0"/>
                <w:bCs w:val="0"/>
                <w:color w:val="auto"/>
                <w:kern w:val="0"/>
                <w:sz w:val="24"/>
              </w:rPr>
              <w:t>玉米</w:t>
            </w:r>
            <w:r>
              <w:rPr>
                <w:rFonts w:hint="default" w:ascii="Times New Roman" w:hAnsi="Times New Roman" w:cs="Times New Roman"/>
                <w:b w:val="0"/>
                <w:bCs w:val="0"/>
                <w:color w:val="auto"/>
                <w:kern w:val="0"/>
                <w:sz w:val="24"/>
                <w:lang w:eastAsia="zh-CN"/>
              </w:rPr>
              <w:t>蒸煮</w:t>
            </w:r>
            <w:r>
              <w:rPr>
                <w:rFonts w:hint="default" w:ascii="Times New Roman" w:hAnsi="Times New Roman" w:cs="Times New Roman"/>
                <w:b w:val="0"/>
                <w:bCs w:val="0"/>
                <w:color w:val="auto"/>
                <w:kern w:val="0"/>
                <w:sz w:val="24"/>
              </w:rPr>
              <w:t>工序会产生少量异味（以臭气浓度计），</w:t>
            </w:r>
            <w:r>
              <w:rPr>
                <w:rFonts w:hint="default" w:ascii="Times New Roman" w:hAnsi="Times New Roman" w:cs="Times New Roman"/>
                <w:b w:val="0"/>
                <w:bCs w:val="0"/>
                <w:color w:val="auto"/>
                <w:kern w:val="0"/>
                <w:sz w:val="24"/>
                <w:lang w:eastAsia="zh-CN"/>
              </w:rPr>
              <w:t>蒸煮</w:t>
            </w:r>
            <w:r>
              <w:rPr>
                <w:rFonts w:hint="default" w:ascii="Times New Roman" w:hAnsi="Times New Roman" w:cs="Times New Roman"/>
                <w:b w:val="0"/>
                <w:bCs w:val="0"/>
                <w:color w:val="auto"/>
                <w:kern w:val="0"/>
                <w:sz w:val="24"/>
              </w:rPr>
              <w:t>工序产生异味在生产车间内散溢，加强车间通风，</w:t>
            </w:r>
            <w:r>
              <w:rPr>
                <w:rFonts w:hint="default" w:ascii="Times New Roman" w:hAnsi="Times New Roman" w:cs="Times New Roman"/>
                <w:b w:val="0"/>
                <w:bCs w:val="0"/>
                <w:color w:val="auto"/>
                <w:kern w:val="0"/>
                <w:sz w:val="24"/>
                <w:lang w:eastAsia="zh-CN"/>
              </w:rPr>
              <w:t>蒸煮</w:t>
            </w:r>
            <w:r>
              <w:rPr>
                <w:rFonts w:hint="default" w:ascii="Times New Roman" w:hAnsi="Times New Roman" w:cs="Times New Roman"/>
                <w:b w:val="0"/>
                <w:bCs w:val="0"/>
                <w:color w:val="auto"/>
                <w:kern w:val="0"/>
                <w:sz w:val="24"/>
              </w:rPr>
              <w:t>工序异味对外环境影响较小。厂界臭气浓度能够满足《恶臭污染物排放标准》（GB14554-93）表2中臭气浓度20 (无量纲)标准限值。食堂安装油烟净化器进行净化，净化效率</w:t>
            </w:r>
            <w:r>
              <w:rPr>
                <w:rFonts w:hint="default" w:ascii="Times New Roman" w:hAnsi="Times New Roman" w:cs="Times New Roman"/>
                <w:b w:val="0"/>
                <w:bCs w:val="0"/>
                <w:color w:val="auto"/>
                <w:kern w:val="0"/>
                <w:sz w:val="24"/>
                <w:lang w:val="en-US" w:eastAsia="zh-CN"/>
              </w:rPr>
              <w:t>75</w:t>
            </w:r>
            <w:r>
              <w:rPr>
                <w:rFonts w:hint="default" w:ascii="Times New Roman" w:hAnsi="Times New Roman" w:cs="Times New Roman"/>
                <w:b w:val="0"/>
                <w:bCs w:val="0"/>
                <w:color w:val="auto"/>
                <w:kern w:val="0"/>
                <w:sz w:val="24"/>
              </w:rPr>
              <w:t>%，油烟废气经油烟净化器处理后达标排放。</w:t>
            </w:r>
            <w:r>
              <w:rPr>
                <w:rFonts w:hint="default" w:ascii="Times New Roman" w:hAnsi="Times New Roman" w:cs="Times New Roman"/>
                <w:b w:val="0"/>
                <w:bCs w:val="0"/>
                <w:color w:val="auto"/>
                <w:sz w:val="24"/>
                <w:szCs w:val="24"/>
                <w:highlight w:val="none"/>
              </w:rPr>
              <w:t>本项目</w:t>
            </w:r>
            <w:r>
              <w:rPr>
                <w:rFonts w:hint="default" w:ascii="Times New Roman" w:hAnsi="Times New Roman" w:cs="Times New Roman"/>
                <w:b w:val="0"/>
                <w:bCs w:val="0"/>
                <w:color w:val="auto"/>
                <w:sz w:val="24"/>
                <w:szCs w:val="24"/>
                <w:highlight w:val="none"/>
                <w:lang w:eastAsia="zh-CN"/>
              </w:rPr>
              <w:t>锅炉排污水及软化处理废水用于锅炉房、灰渣间、厂区洒水降尘，</w:t>
            </w:r>
            <w:r>
              <w:rPr>
                <w:rFonts w:hint="default" w:ascii="Times New Roman" w:hAnsi="Times New Roman" w:cs="Times New Roman"/>
                <w:b w:val="0"/>
                <w:bCs w:val="0"/>
                <w:color w:val="auto"/>
                <w:sz w:val="24"/>
                <w:szCs w:val="24"/>
                <w:lang w:eastAsia="zh-CN"/>
              </w:rPr>
              <w:t>不外排；</w:t>
            </w:r>
            <w:r>
              <w:rPr>
                <w:rFonts w:hint="default" w:ascii="Times New Roman" w:hAnsi="Times New Roman" w:cs="Times New Roman"/>
                <w:b w:val="0"/>
                <w:bCs w:val="0"/>
                <w:color w:val="auto"/>
                <w:sz w:val="24"/>
                <w:szCs w:val="24"/>
                <w:lang w:val="en-US" w:eastAsia="zh-CN"/>
              </w:rPr>
              <w:t>生活污水</w:t>
            </w:r>
            <w:r>
              <w:rPr>
                <w:rFonts w:hint="default" w:ascii="Times New Roman" w:hAnsi="Times New Roman" w:cs="Times New Roman"/>
                <w:b w:val="0"/>
                <w:bCs w:val="0"/>
                <w:color w:val="auto"/>
                <w:sz w:val="24"/>
                <w:szCs w:val="24"/>
                <w:highlight w:val="none"/>
                <w:lang w:val="en-US" w:eastAsia="zh-CN"/>
              </w:rPr>
              <w:t>进入厂区内防渗旱厕，</w:t>
            </w:r>
            <w:r>
              <w:rPr>
                <w:rFonts w:hint="default" w:ascii="Times New Roman" w:hAnsi="Times New Roman" w:cs="Times New Roman"/>
                <w:b w:val="0"/>
                <w:bCs w:val="0"/>
                <w:color w:val="auto"/>
                <w:sz w:val="24"/>
                <w:szCs w:val="24"/>
                <w:highlight w:val="none"/>
              </w:rPr>
              <w:t>定期清掏，外运堆肥。清洗</w:t>
            </w:r>
            <w:r>
              <w:rPr>
                <w:rFonts w:hint="default" w:ascii="Times New Roman" w:hAnsi="Times New Roman" w:cs="Times New Roman"/>
                <w:b w:val="0"/>
                <w:bCs w:val="0"/>
                <w:color w:val="auto"/>
                <w:sz w:val="24"/>
                <w:szCs w:val="24"/>
                <w:highlight w:val="none"/>
                <w:lang w:val="en-US" w:eastAsia="zh-CN"/>
              </w:rPr>
              <w:t>废</w:t>
            </w:r>
            <w:r>
              <w:rPr>
                <w:rFonts w:hint="default" w:ascii="Times New Roman" w:hAnsi="Times New Roman" w:cs="Times New Roman"/>
                <w:b w:val="0"/>
                <w:bCs w:val="0"/>
                <w:color w:val="auto"/>
                <w:sz w:val="24"/>
                <w:szCs w:val="24"/>
                <w:highlight w:val="none"/>
                <w:lang w:eastAsia="zh-CN"/>
              </w:rPr>
              <w:t>水</w:t>
            </w:r>
            <w:r>
              <w:rPr>
                <w:rFonts w:hint="default" w:ascii="Times New Roman" w:hAnsi="Times New Roman" w:cs="Times New Roman"/>
                <w:b w:val="0"/>
                <w:bCs w:val="0"/>
                <w:color w:val="auto"/>
                <w:sz w:val="24"/>
                <w:szCs w:val="24"/>
                <w:highlight w:val="none"/>
              </w:rPr>
              <w:t>、车间地面冲洗废水暂存于30m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的密闭储罐内</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每天由专用罐车拉运至</w:t>
            </w:r>
            <w:r>
              <w:rPr>
                <w:rFonts w:hint="eastAsia" w:cs="Times New Roman"/>
                <w:b w:val="0"/>
                <w:bCs w:val="0"/>
                <w:color w:val="auto"/>
                <w:sz w:val="24"/>
                <w:szCs w:val="24"/>
                <w:highlight w:val="none"/>
                <w:lang w:eastAsia="zh-CN"/>
              </w:rPr>
              <w:t>五常市民泉污水处理有限公司</w:t>
            </w:r>
            <w:r>
              <w:rPr>
                <w:rFonts w:hint="default" w:ascii="Times New Roman" w:hAnsi="Times New Roman" w:cs="Times New Roman"/>
                <w:b w:val="0"/>
                <w:bCs w:val="0"/>
                <w:color w:val="auto"/>
                <w:sz w:val="24"/>
                <w:szCs w:val="24"/>
                <w:highlight w:val="none"/>
              </w:rPr>
              <w:t>处理</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kern w:val="0"/>
                <w:sz w:val="24"/>
                <w:szCs w:val="24"/>
                <w:highlight w:val="none"/>
              </w:rPr>
              <w:t>日产日清</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kern w:val="0"/>
                <w:sz w:val="24"/>
                <w:highlight w:val="none"/>
                <w:lang w:eastAsia="zh-CN"/>
              </w:rPr>
              <w:t>采取厂房隔声</w:t>
            </w:r>
            <w:r>
              <w:rPr>
                <w:rFonts w:hint="default" w:ascii="Times New Roman" w:hAnsi="Times New Roman" w:cs="Times New Roman"/>
                <w:b w:val="0"/>
                <w:bCs w:val="0"/>
                <w:color w:val="auto"/>
                <w:kern w:val="0"/>
                <w:sz w:val="24"/>
                <w:highlight w:val="none"/>
              </w:rPr>
              <w:t>和</w:t>
            </w:r>
            <w:r>
              <w:rPr>
                <w:rFonts w:hint="default" w:ascii="Times New Roman" w:hAnsi="Times New Roman" w:cs="Times New Roman"/>
                <w:b w:val="0"/>
                <w:bCs w:val="0"/>
                <w:color w:val="auto"/>
                <w:kern w:val="0"/>
                <w:sz w:val="24"/>
                <w:highlight w:val="none"/>
                <w:lang w:eastAsia="zh-CN"/>
              </w:rPr>
              <w:t>设备安装基础</w:t>
            </w:r>
            <w:r>
              <w:rPr>
                <w:rFonts w:hint="default" w:ascii="Times New Roman" w:hAnsi="Times New Roman" w:cs="Times New Roman"/>
                <w:b w:val="0"/>
                <w:bCs w:val="0"/>
                <w:color w:val="auto"/>
                <w:kern w:val="0"/>
                <w:sz w:val="24"/>
                <w:highlight w:val="none"/>
              </w:rPr>
              <w:t>减振等措施，项目厂界噪声达到《工业企业厂界环境噪声排放标准》（GB12348-2008）2类标准要求。生活垃圾由环卫部门统一处理；废纸箱及废包装袋集中收集外售综</w:t>
            </w:r>
            <w:r>
              <w:rPr>
                <w:rFonts w:hint="default" w:ascii="Times New Roman" w:hAnsi="Times New Roman" w:cs="Times New Roman"/>
                <w:b w:val="0"/>
                <w:bCs w:val="0"/>
                <w:color w:val="auto"/>
                <w:kern w:val="0"/>
                <w:sz w:val="24"/>
              </w:rPr>
              <w:t>合利用；玉米叶</w:t>
            </w:r>
            <w:r>
              <w:rPr>
                <w:rFonts w:hint="default" w:ascii="Times New Roman" w:hAnsi="Times New Roman" w:cs="Times New Roman"/>
                <w:b w:val="0"/>
                <w:bCs w:val="0"/>
                <w:color w:val="auto"/>
                <w:kern w:val="0"/>
                <w:sz w:val="24"/>
                <w:szCs w:val="24"/>
              </w:rPr>
              <w:t>、玉米须、不合格的果穗、青穗以及废弃玉米段集中收集，外售用作饲料；锅炉灰渣与布袋除尘器收尘集中收集于灰渣</w:t>
            </w:r>
            <w:r>
              <w:rPr>
                <w:rFonts w:hint="default" w:ascii="Times New Roman" w:hAnsi="Times New Roman" w:cs="Times New Roman"/>
                <w:b w:val="0"/>
                <w:bCs w:val="0"/>
                <w:color w:val="auto"/>
                <w:kern w:val="0"/>
                <w:sz w:val="24"/>
                <w:szCs w:val="24"/>
                <w:lang w:eastAsia="zh-CN"/>
              </w:rPr>
              <w:t>间</w:t>
            </w:r>
            <w:r>
              <w:rPr>
                <w:rFonts w:hint="default" w:ascii="Times New Roman" w:hAnsi="Times New Roman" w:cs="Times New Roman"/>
                <w:b w:val="0"/>
                <w:bCs w:val="0"/>
                <w:color w:val="auto"/>
                <w:kern w:val="0"/>
                <w:sz w:val="24"/>
                <w:szCs w:val="24"/>
              </w:rPr>
              <w:t>，外售综合利用；</w:t>
            </w:r>
            <w:r>
              <w:rPr>
                <w:rFonts w:hint="default" w:ascii="Times New Roman" w:hAnsi="Times New Roman" w:cs="Times New Roman"/>
                <w:b w:val="0"/>
                <w:bCs w:val="0"/>
                <w:color w:val="auto"/>
                <w:sz w:val="24"/>
                <w:szCs w:val="24"/>
                <w:highlight w:val="none"/>
                <w:lang w:eastAsia="zh-CN"/>
              </w:rPr>
              <w:t>除尘器废布袋、</w:t>
            </w:r>
            <w:r>
              <w:rPr>
                <w:rFonts w:hint="default" w:ascii="Times New Roman" w:hAnsi="Times New Roman" w:cs="Times New Roman"/>
                <w:b w:val="0"/>
                <w:bCs w:val="0"/>
                <w:color w:val="auto"/>
                <w:kern w:val="0"/>
                <w:sz w:val="24"/>
                <w:szCs w:val="24"/>
              </w:rPr>
              <w:t>废离子交换树脂</w:t>
            </w:r>
            <w:r>
              <w:rPr>
                <w:rFonts w:hint="default" w:ascii="Times New Roman" w:hAnsi="Times New Roman" w:cs="Times New Roman"/>
                <w:b w:val="0"/>
                <w:bCs w:val="0"/>
                <w:color w:val="auto"/>
                <w:kern w:val="0"/>
                <w:sz w:val="24"/>
              </w:rPr>
              <w:t>由厂家回收再利用。</w:t>
            </w:r>
          </w:p>
          <w:p>
            <w:pPr>
              <w:autoSpaceDE w:val="0"/>
              <w:autoSpaceDN w:val="0"/>
              <w:adjustRightInd w:val="0"/>
              <w:snapToGrid w:val="0"/>
              <w:spacing w:line="360" w:lineRule="auto"/>
              <w:ind w:firstLine="480" w:firstLineChars="200"/>
              <w:jc w:val="left"/>
              <w:rPr>
                <w:rFonts w:hint="default" w:ascii="Times New Roman" w:hAnsi="Times New Roman" w:cs="Times New Roman"/>
                <w:b w:val="0"/>
                <w:bCs w:val="0"/>
                <w:color w:val="auto"/>
                <w:kern w:val="0"/>
                <w:sz w:val="24"/>
                <w:szCs w:val="21"/>
              </w:rPr>
            </w:pPr>
            <w:r>
              <w:rPr>
                <w:rFonts w:hint="default" w:ascii="Times New Roman" w:hAnsi="Times New Roman" w:cs="Times New Roman"/>
                <w:b w:val="0"/>
                <w:bCs w:val="0"/>
                <w:color w:val="auto"/>
                <w:kern w:val="0"/>
                <w:sz w:val="24"/>
                <w:szCs w:val="21"/>
              </w:rPr>
              <w:t>（3）项目所在地具有方便的交通运输和水电条件，便于项目的施工建设。</w:t>
            </w:r>
          </w:p>
          <w:p>
            <w:pPr>
              <w:autoSpaceDE w:val="0"/>
              <w:autoSpaceDN w:val="0"/>
              <w:adjustRightInd w:val="0"/>
              <w:snapToGrid w:val="0"/>
              <w:spacing w:line="360" w:lineRule="auto"/>
              <w:ind w:firstLine="480" w:firstLineChars="200"/>
              <w:jc w:val="left"/>
              <w:rPr>
                <w:rFonts w:hint="default" w:ascii="Times New Roman" w:hAnsi="Times New Roman" w:cs="Times New Roman"/>
                <w:b w:val="0"/>
                <w:bCs w:val="0"/>
                <w:color w:val="auto"/>
                <w:kern w:val="0"/>
                <w:sz w:val="24"/>
                <w:szCs w:val="21"/>
              </w:rPr>
            </w:pPr>
            <w:r>
              <w:rPr>
                <w:rFonts w:hint="default" w:ascii="Times New Roman" w:hAnsi="Times New Roman" w:cs="Times New Roman"/>
                <w:b w:val="0"/>
                <w:bCs w:val="0"/>
                <w:color w:val="auto"/>
                <w:kern w:val="0"/>
                <w:sz w:val="24"/>
                <w:szCs w:val="21"/>
              </w:rPr>
              <w:t>在落实本报告提出的污染防治措施前提，确保各项污染物稳定达标排放，选址可行。</w:t>
            </w: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rPr>
            </w:pPr>
          </w:p>
          <w:p>
            <w:pPr>
              <w:keepNext w:val="0"/>
              <w:keepLines w:val="0"/>
              <w:pageBreakBefore w:val="0"/>
              <w:widowControl w:val="0"/>
              <w:shd w:val="clear"/>
              <w:kinsoku/>
              <w:wordWrap/>
              <w:overflowPunct/>
              <w:topLinePunct w:val="0"/>
              <w:autoSpaceDE w:val="0"/>
              <w:autoSpaceDN w:val="0"/>
              <w:bidi w:val="0"/>
              <w:adjustRightInd/>
              <w:snapToGrid/>
              <w:spacing w:line="520" w:lineRule="exact"/>
              <w:ind w:firstLine="480" w:firstLineChars="200"/>
              <w:jc w:val="both"/>
              <w:textAlignment w:val="auto"/>
              <w:rPr>
                <w:rFonts w:hint="default" w:ascii="Times New Roman" w:hAnsi="Times New Roman" w:eastAsia="宋体" w:cs="Times New Roman"/>
                <w:bCs/>
                <w:color w:val="auto"/>
                <w:kern w:val="0"/>
                <w:sz w:val="24"/>
                <w:szCs w:val="21"/>
                <w:lang w:val="en-US" w:eastAsia="zh-CN"/>
              </w:rPr>
            </w:pPr>
            <w:r>
              <w:rPr>
                <w:rFonts w:hint="default" w:ascii="Times New Roman" w:hAnsi="Times New Roman" w:cs="Times New Roman"/>
                <w:bCs/>
                <w:color w:val="auto"/>
                <w:kern w:val="0"/>
                <w:sz w:val="24"/>
                <w:szCs w:val="21"/>
                <w:lang w:val="en-US" w:eastAsia="zh-CN"/>
              </w:rPr>
              <w:t xml:space="preserve"> </w:t>
            </w:r>
          </w:p>
        </w:tc>
      </w:tr>
    </w:tbl>
    <w:p>
      <w:pPr>
        <w:spacing w:line="360" w:lineRule="auto"/>
        <w:outlineLvl w:val="0"/>
        <w:rPr>
          <w:rFonts w:hint="default" w:ascii="Times New Roman" w:hAnsi="Times New Roman" w:eastAsia="黑体" w:cs="Times New Roman"/>
          <w:color w:val="auto"/>
          <w:sz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9" w:name="_Toc68775753"/>
      <w:r>
        <w:rPr>
          <w:rFonts w:hint="default" w:ascii="Times New Roman" w:hAnsi="Times New Roman" w:eastAsia="黑体" w:cs="Times New Roman"/>
          <w:snapToGrid w:val="0"/>
          <w:color w:val="auto"/>
          <w:sz w:val="30"/>
          <w:szCs w:val="30"/>
        </w:rPr>
        <w:t>二、建设项目工程分析</w:t>
      </w:r>
      <w:bookmarkEnd w:id="9"/>
    </w:p>
    <w:tbl>
      <w:tblPr>
        <w:tblStyle w:val="32"/>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8612" w:type="dxa"/>
          </w:tcPr>
          <w:p>
            <w:pPr>
              <w:spacing w:line="360" w:lineRule="auto"/>
              <w:ind w:firstLine="480" w:firstLineChars="200"/>
              <w:contextualSpacing/>
              <w:jc w:val="left"/>
              <w:rPr>
                <w:rFonts w:hint="default" w:ascii="Times New Roman" w:hAnsi="Times New Roman" w:cs="Times New Roman"/>
                <w:b w:val="0"/>
                <w:bCs w:val="0"/>
                <w:color w:val="auto"/>
                <w:kern w:val="0"/>
                <w:sz w:val="24"/>
              </w:rPr>
            </w:pPr>
            <w:r>
              <w:rPr>
                <w:rFonts w:hint="default" w:ascii="Times New Roman" w:hAnsi="Times New Roman" w:cs="Times New Roman"/>
                <w:b w:val="0"/>
                <w:bCs w:val="0"/>
                <w:color w:val="auto"/>
                <w:kern w:val="0"/>
                <w:sz w:val="24"/>
              </w:rPr>
              <w:t>1、工程建设内容及规模</w:t>
            </w:r>
          </w:p>
          <w:p>
            <w:pPr>
              <w:pStyle w:val="42"/>
              <w:adjustRightInd w:val="0"/>
              <w:snapToGrid w:val="0"/>
              <w:spacing w:beforeLines="0" w:afterLines="0" w:line="360" w:lineRule="auto"/>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（1）建设规模</w:t>
            </w:r>
          </w:p>
          <w:p>
            <w:pPr>
              <w:pStyle w:val="42"/>
              <w:adjustRightInd w:val="0"/>
              <w:snapToGrid w:val="0"/>
              <w:spacing w:beforeLines="0" w:afterLines="0" w:line="360" w:lineRule="auto"/>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本项目新建</w:t>
            </w:r>
            <w:r>
              <w:rPr>
                <w:rFonts w:hint="eastAsia" w:cs="Times New Roman"/>
                <w:b w:val="0"/>
                <w:bCs w:val="0"/>
                <w:color w:val="auto"/>
                <w:lang w:val="en-US" w:eastAsia="zh-CN"/>
              </w:rPr>
              <w:t>4</w:t>
            </w:r>
            <w:r>
              <w:rPr>
                <w:rFonts w:hint="default" w:ascii="Times New Roman" w:hAnsi="Times New Roman" w:cs="Times New Roman"/>
                <w:b w:val="0"/>
                <w:bCs w:val="0"/>
                <w:color w:val="auto"/>
              </w:rPr>
              <w:t>条</w:t>
            </w:r>
            <w:r>
              <w:rPr>
                <w:rFonts w:hint="default" w:ascii="Times New Roman" w:hAnsi="Times New Roman" w:cs="Times New Roman"/>
                <w:b w:val="0"/>
                <w:bCs w:val="0"/>
                <w:color w:val="auto"/>
                <w:lang w:eastAsia="zh-CN"/>
              </w:rPr>
              <w:t>鲜食玉米</w:t>
            </w:r>
            <w:r>
              <w:rPr>
                <w:rFonts w:hint="default" w:ascii="Times New Roman" w:hAnsi="Times New Roman" w:cs="Times New Roman"/>
                <w:b w:val="0"/>
                <w:bCs w:val="0"/>
                <w:color w:val="auto"/>
              </w:rPr>
              <w:t>生产线，年产</w:t>
            </w:r>
            <w:r>
              <w:rPr>
                <w:rFonts w:hint="default" w:ascii="Times New Roman" w:hAnsi="Times New Roman" w:cs="Times New Roman"/>
                <w:b w:val="0"/>
                <w:bCs w:val="0"/>
                <w:color w:val="auto"/>
                <w:lang w:eastAsia="zh-CN"/>
              </w:rPr>
              <w:t>鲜食</w:t>
            </w:r>
            <w:r>
              <w:rPr>
                <w:rFonts w:hint="default" w:ascii="Times New Roman" w:hAnsi="Times New Roman" w:cs="Times New Roman"/>
                <w:b w:val="0"/>
                <w:bCs w:val="0"/>
                <w:color w:val="auto"/>
              </w:rPr>
              <w:t>玉米</w:t>
            </w:r>
            <w:r>
              <w:rPr>
                <w:rFonts w:hint="default" w:ascii="Times New Roman" w:hAnsi="Times New Roman" w:cs="Times New Roman"/>
                <w:b w:val="0"/>
                <w:bCs w:val="0"/>
                <w:color w:val="auto"/>
                <w:lang w:val="en-US" w:eastAsia="zh-CN"/>
              </w:rPr>
              <w:t>2000万穗（</w:t>
            </w:r>
            <w:r>
              <w:rPr>
                <w:rFonts w:hint="default" w:ascii="Times New Roman" w:hAnsi="Times New Roman" w:cs="Times New Roman"/>
                <w:b w:val="0"/>
                <w:bCs w:val="0"/>
                <w:color w:val="auto"/>
              </w:rPr>
              <w:t>4</w:t>
            </w:r>
            <w:r>
              <w:rPr>
                <w:rFonts w:hint="default" w:ascii="Times New Roman" w:hAnsi="Times New Roman" w:cs="Times New Roman"/>
                <w:b w:val="0"/>
                <w:bCs w:val="0"/>
                <w:color w:val="auto"/>
                <w:lang w:val="en-US" w:eastAsia="zh-CN"/>
              </w:rPr>
              <w:t>000</w:t>
            </w:r>
            <w:r>
              <w:rPr>
                <w:rFonts w:hint="default" w:ascii="Times New Roman" w:hAnsi="Times New Roman" w:cs="Times New Roman"/>
                <w:b w:val="0"/>
                <w:bCs w:val="0"/>
                <w:color w:val="auto"/>
              </w:rPr>
              <w:t>吨</w:t>
            </w:r>
            <w:r>
              <w:rPr>
                <w:rFonts w:hint="default" w:ascii="Times New Roman" w:hAnsi="Times New Roman" w:cs="Times New Roman"/>
                <w:b w:val="0"/>
                <w:bCs w:val="0"/>
                <w:color w:val="auto"/>
                <w:lang w:val="en-US" w:eastAsia="zh-CN"/>
              </w:rPr>
              <w:t>）</w:t>
            </w:r>
            <w:r>
              <w:rPr>
                <w:rFonts w:hint="default" w:ascii="Times New Roman" w:hAnsi="Times New Roman" w:cs="Times New Roman"/>
                <w:b w:val="0"/>
                <w:bCs w:val="0"/>
                <w:color w:val="auto"/>
              </w:rPr>
              <w:t>。本项目总占地面积为</w:t>
            </w:r>
            <w:r>
              <w:rPr>
                <w:rFonts w:hint="eastAsia" w:cs="Times New Roman"/>
                <w:b w:val="0"/>
                <w:bCs w:val="0"/>
                <w:color w:val="auto"/>
                <w:szCs w:val="21"/>
                <w:lang w:val="en-US" w:eastAsia="zh-CN"/>
              </w:rPr>
              <w:t>20000</w:t>
            </w:r>
            <w:r>
              <w:rPr>
                <w:rFonts w:hint="default" w:ascii="Times New Roman" w:hAnsi="Times New Roman" w:cs="Times New Roman"/>
                <w:b w:val="0"/>
                <w:bCs w:val="0"/>
                <w:color w:val="auto"/>
              </w:rPr>
              <w:t>m</w:t>
            </w:r>
            <w:r>
              <w:rPr>
                <w:rFonts w:hint="default" w:ascii="Times New Roman" w:hAnsi="Times New Roman" w:cs="Times New Roman"/>
                <w:b w:val="0"/>
                <w:bCs w:val="0"/>
                <w:color w:val="auto"/>
                <w:vertAlign w:val="superscript"/>
              </w:rPr>
              <w:t>2</w:t>
            </w:r>
            <w:r>
              <w:rPr>
                <w:rFonts w:hint="default" w:ascii="Times New Roman" w:hAnsi="Times New Roman" w:cs="Times New Roman"/>
                <w:b w:val="0"/>
                <w:bCs w:val="0"/>
                <w:color w:val="auto"/>
              </w:rPr>
              <w:t>。厂区平面布置见</w:t>
            </w:r>
            <w:r>
              <w:rPr>
                <w:rFonts w:hint="default" w:ascii="Times New Roman" w:hAnsi="Times New Roman" w:eastAsia="宋体" w:cs="Times New Roman"/>
                <w:b w:val="0"/>
                <w:bCs w:val="0"/>
                <w:color w:val="auto"/>
                <w:kern w:val="0"/>
                <w:sz w:val="24"/>
                <w:lang w:eastAsia="zh-CN"/>
              </w:rPr>
              <w:t>附图2。</w:t>
            </w:r>
          </w:p>
          <w:p>
            <w:pPr>
              <w:pStyle w:val="42"/>
              <w:numPr>
                <w:ilvl w:val="0"/>
                <w:numId w:val="5"/>
              </w:numPr>
              <w:adjustRightInd w:val="0"/>
              <w:snapToGrid w:val="0"/>
              <w:spacing w:beforeLines="0" w:afterLines="0" w:line="360" w:lineRule="auto"/>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建设内容</w:t>
            </w:r>
          </w:p>
          <w:p>
            <w:pPr>
              <w:pStyle w:val="42"/>
              <w:numPr>
                <w:ilvl w:val="0"/>
                <w:numId w:val="0"/>
              </w:numPr>
              <w:adjustRightInd w:val="0"/>
              <w:snapToGrid w:val="0"/>
              <w:spacing w:beforeLines="0" w:afterLines="0" w:line="360" w:lineRule="auto"/>
              <w:ind w:firstLine="480" w:firstLineChars="200"/>
              <w:rPr>
                <w:rFonts w:hint="default" w:ascii="Times New Roman" w:hAnsi="Times New Roman" w:eastAsia="宋体" w:cs="Times New Roman"/>
                <w:b w:val="0"/>
                <w:bCs w:val="0"/>
                <w:color w:val="auto"/>
                <w:kern w:val="0"/>
                <w:sz w:val="24"/>
                <w:lang w:eastAsia="zh-CN"/>
              </w:rPr>
            </w:pPr>
            <w:r>
              <w:rPr>
                <w:rFonts w:hint="default" w:ascii="Times New Roman" w:hAnsi="Times New Roman" w:eastAsia="宋体" w:cs="Times New Roman"/>
                <w:b w:val="0"/>
                <w:bCs w:val="0"/>
                <w:color w:val="auto"/>
                <w:kern w:val="0"/>
                <w:sz w:val="24"/>
                <w:lang w:eastAsia="zh-CN"/>
              </w:rPr>
              <w:t>主要建设内容</w:t>
            </w:r>
            <w:r>
              <w:rPr>
                <w:rFonts w:hint="default" w:ascii="Times New Roman" w:hAnsi="Times New Roman" w:cs="Times New Roman"/>
                <w:b w:val="0"/>
                <w:bCs w:val="0"/>
                <w:color w:val="auto"/>
                <w:kern w:val="0"/>
                <w:sz w:val="24"/>
                <w:lang w:val="en-US" w:eastAsia="zh-CN"/>
              </w:rPr>
              <w:t>为</w:t>
            </w:r>
            <w:r>
              <w:rPr>
                <w:rFonts w:hint="default" w:ascii="Times New Roman" w:hAnsi="Times New Roman" w:cs="Times New Roman"/>
                <w:b w:val="0"/>
                <w:bCs w:val="0"/>
                <w:color w:val="auto"/>
                <w:lang w:eastAsia="zh-CN"/>
              </w:rPr>
              <w:t>鲜食玉米</w:t>
            </w:r>
            <w:r>
              <w:rPr>
                <w:rFonts w:hint="default" w:ascii="Times New Roman" w:hAnsi="Times New Roman" w:cs="Times New Roman"/>
                <w:b w:val="0"/>
                <w:bCs w:val="0"/>
                <w:color w:val="auto"/>
              </w:rPr>
              <w:t>生产车间</w:t>
            </w:r>
            <w:r>
              <w:rPr>
                <w:rFonts w:hint="default" w:ascii="Times New Roman" w:hAnsi="Times New Roman" w:cs="Times New Roman"/>
                <w:b w:val="0"/>
                <w:bCs w:val="0"/>
                <w:color w:val="auto"/>
                <w:lang w:val="en-US" w:eastAsia="zh-CN"/>
              </w:rPr>
              <w:t>1座</w:t>
            </w:r>
            <w:r>
              <w:rPr>
                <w:rFonts w:hint="default" w:ascii="Times New Roman" w:hAnsi="Times New Roman" w:eastAsia="宋体" w:cs="Times New Roman"/>
                <w:b w:val="0"/>
                <w:bCs w:val="0"/>
                <w:color w:val="auto"/>
                <w:kern w:val="0"/>
                <w:sz w:val="24"/>
              </w:rPr>
              <w:t>、</w:t>
            </w:r>
            <w:r>
              <w:rPr>
                <w:rFonts w:hint="default" w:ascii="Times New Roman" w:hAnsi="Times New Roman" w:cs="Times New Roman"/>
                <w:b w:val="0"/>
                <w:bCs w:val="0"/>
                <w:color w:val="auto"/>
                <w:highlight w:val="none"/>
                <w:lang w:eastAsia="zh-CN"/>
              </w:rPr>
              <w:t>鲜食玉米成品库房</w:t>
            </w:r>
            <w:r>
              <w:rPr>
                <w:rFonts w:hint="eastAsia" w:cs="Times New Roman"/>
                <w:b w:val="0"/>
                <w:bCs w:val="0"/>
                <w:color w:val="auto"/>
                <w:lang w:val="en-US" w:eastAsia="zh-CN"/>
              </w:rPr>
              <w:t>3</w:t>
            </w:r>
            <w:r>
              <w:rPr>
                <w:rFonts w:hint="default" w:ascii="Times New Roman" w:hAnsi="Times New Roman" w:cs="Times New Roman"/>
                <w:b w:val="0"/>
                <w:bCs w:val="0"/>
                <w:color w:val="auto"/>
                <w:lang w:val="en-US" w:eastAsia="zh-CN"/>
              </w:rPr>
              <w:t>座</w:t>
            </w:r>
            <w:r>
              <w:rPr>
                <w:rFonts w:hint="default" w:ascii="Times New Roman" w:hAnsi="Times New Roman" w:eastAsia="宋体" w:cs="Times New Roman"/>
                <w:b w:val="0"/>
                <w:bCs w:val="0"/>
                <w:color w:val="auto"/>
                <w:kern w:val="0"/>
                <w:sz w:val="24"/>
              </w:rPr>
              <w:t>、</w:t>
            </w:r>
            <w:r>
              <w:rPr>
                <w:rFonts w:hint="default" w:ascii="Times New Roman" w:hAnsi="Times New Roman" w:cs="Times New Roman"/>
                <w:b w:val="0"/>
                <w:bCs w:val="0"/>
                <w:color w:val="auto"/>
                <w:spacing w:val="-4"/>
                <w:szCs w:val="21"/>
                <w:highlight w:val="none"/>
              </w:rPr>
              <w:t>锅炉房</w:t>
            </w:r>
            <w:r>
              <w:rPr>
                <w:rFonts w:hint="default" w:ascii="Times New Roman" w:hAnsi="Times New Roman" w:cs="Times New Roman"/>
                <w:b w:val="0"/>
                <w:bCs w:val="0"/>
                <w:color w:val="auto"/>
                <w:lang w:val="en-US" w:eastAsia="zh-CN"/>
              </w:rPr>
              <w:t>1座</w:t>
            </w:r>
            <w:r>
              <w:rPr>
                <w:rFonts w:hint="default" w:ascii="Times New Roman" w:hAnsi="Times New Roman" w:cs="Times New Roman"/>
                <w:b w:val="0"/>
                <w:bCs w:val="0"/>
                <w:color w:val="auto"/>
                <w:spacing w:val="-4"/>
                <w:szCs w:val="21"/>
                <w:highlight w:val="none"/>
                <w:lang w:eastAsia="zh-CN"/>
              </w:rPr>
              <w:t>、</w:t>
            </w:r>
            <w:r>
              <w:rPr>
                <w:rFonts w:hint="eastAsia" w:cs="Times New Roman"/>
                <w:b w:val="0"/>
                <w:bCs w:val="0"/>
                <w:color w:val="auto"/>
                <w:spacing w:val="-4"/>
                <w:szCs w:val="21"/>
                <w:highlight w:val="none"/>
                <w:lang w:eastAsia="zh-CN"/>
              </w:rPr>
              <w:t>灰渣间</w:t>
            </w:r>
            <w:r>
              <w:rPr>
                <w:rFonts w:hint="eastAsia" w:cs="Times New Roman"/>
                <w:b w:val="0"/>
                <w:bCs w:val="0"/>
                <w:color w:val="auto"/>
                <w:spacing w:val="-4"/>
                <w:szCs w:val="21"/>
                <w:highlight w:val="none"/>
                <w:lang w:val="en-US" w:eastAsia="zh-CN"/>
              </w:rPr>
              <w:t>1座、燃料库1座、水处理间1座、</w:t>
            </w:r>
            <w:r>
              <w:rPr>
                <w:rFonts w:hint="default" w:ascii="Times New Roman" w:hAnsi="Times New Roman" w:cs="Times New Roman"/>
                <w:b w:val="0"/>
                <w:bCs w:val="0"/>
                <w:color w:val="auto"/>
                <w:spacing w:val="-4"/>
                <w:szCs w:val="21"/>
                <w:highlight w:val="none"/>
                <w:lang w:eastAsia="zh-CN"/>
              </w:rPr>
              <w:t>办公室</w:t>
            </w:r>
            <w:r>
              <w:rPr>
                <w:rFonts w:hint="default" w:ascii="Times New Roman" w:hAnsi="Times New Roman" w:cs="Times New Roman"/>
                <w:b w:val="0"/>
                <w:bCs w:val="0"/>
                <w:color w:val="auto"/>
                <w:lang w:val="en-US" w:eastAsia="zh-CN"/>
              </w:rPr>
              <w:t>1座</w:t>
            </w:r>
            <w:r>
              <w:rPr>
                <w:rFonts w:hint="default" w:ascii="Times New Roman" w:hAnsi="Times New Roman" w:cs="Times New Roman"/>
                <w:b w:val="0"/>
                <w:bCs w:val="0"/>
                <w:color w:val="auto"/>
                <w:spacing w:val="-4"/>
                <w:szCs w:val="21"/>
                <w:highlight w:val="none"/>
                <w:lang w:eastAsia="zh-CN"/>
              </w:rPr>
              <w:t>、食堂</w:t>
            </w:r>
            <w:r>
              <w:rPr>
                <w:rFonts w:hint="default" w:ascii="Times New Roman" w:hAnsi="Times New Roman" w:eastAsia="宋体" w:cs="Times New Roman"/>
                <w:b w:val="0"/>
                <w:bCs w:val="0"/>
                <w:color w:val="auto"/>
                <w:kern w:val="0"/>
                <w:sz w:val="24"/>
              </w:rPr>
              <w:t>1座</w:t>
            </w:r>
            <w:r>
              <w:rPr>
                <w:rFonts w:hint="default" w:ascii="Times New Roman" w:hAnsi="Times New Roman" w:cs="Times New Roman"/>
                <w:b w:val="0"/>
                <w:bCs w:val="0"/>
                <w:color w:val="auto"/>
              </w:rPr>
              <w:t>，并配套建设环保工程等。具体内容见下表2-1。</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表2-1</w:t>
            </w:r>
            <w:r>
              <w:rPr>
                <w:rFonts w:hint="default" w:ascii="Times New Roman" w:hAnsi="Times New Roman" w:cs="Times New Roman" w:eastAsiaTheme="minorEastAsia"/>
                <w:b/>
                <w:bCs/>
                <w:color w:val="auto"/>
                <w:sz w:val="21"/>
                <w:szCs w:val="24"/>
                <w:lang w:val="en-US" w:eastAsia="zh-CN"/>
              </w:rPr>
              <w:t xml:space="preserve"> </w:t>
            </w:r>
            <w:r>
              <w:rPr>
                <w:rFonts w:hint="default" w:ascii="Times New Roman" w:hAnsi="Times New Roman" w:cs="Times New Roman" w:eastAsiaTheme="minorEastAsia"/>
                <w:b/>
                <w:bCs/>
                <w:color w:val="auto"/>
                <w:sz w:val="21"/>
                <w:szCs w:val="24"/>
              </w:rPr>
              <w:t xml:space="preserve"> 现有工程组成一览表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244"/>
              <w:gridCol w:w="5403"/>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bookmarkStart w:id="10" w:name="_Hlk84348650"/>
                  <w:r>
                    <w:rPr>
                      <w:rFonts w:hint="default" w:ascii="Times New Roman" w:hAnsi="Times New Roman" w:eastAsia="宋体" w:cs="Times New Roman"/>
                      <w:color w:val="auto"/>
                      <w:sz w:val="21"/>
                      <w:szCs w:val="21"/>
                    </w:rPr>
                    <w:t>工程</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7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3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工程建设内容及规模</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主体工程</w:t>
                  </w:r>
                </w:p>
              </w:tc>
              <w:tc>
                <w:tcPr>
                  <w:tcW w:w="742"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鲜食玉米</w:t>
                  </w:r>
                  <w:r>
                    <w:rPr>
                      <w:rFonts w:hint="default" w:ascii="Times New Roman" w:hAnsi="Times New Roman" w:cs="Times New Roman"/>
                      <w:color w:val="auto"/>
                      <w:sz w:val="21"/>
                      <w:szCs w:val="21"/>
                    </w:rPr>
                    <w:t>生产车间</w:t>
                  </w:r>
                </w:p>
              </w:tc>
              <w:tc>
                <w:tcPr>
                  <w:tcW w:w="3223"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2500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default" w:ascii="Times New Roman" w:hAnsi="Times New Roman" w:cs="Times New Roman"/>
                      <w:color w:val="auto"/>
                      <w:sz w:val="21"/>
                      <w:szCs w:val="21"/>
                      <w:highlight w:val="none"/>
                      <w:lang w:val="en-US" w:eastAsia="zh-CN"/>
                    </w:rPr>
                    <w:t>8m，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2500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层建筑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内设</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条玉米加工生产线，车间包括玉米加工</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扒皮、切割</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高温灭菌、风干、</w:t>
                  </w:r>
                  <w:r>
                    <w:rPr>
                      <w:rFonts w:hint="default" w:ascii="Times New Roman" w:hAnsi="Times New Roman" w:cs="Times New Roman"/>
                      <w:color w:val="auto"/>
                      <w:sz w:val="21"/>
                      <w:szCs w:val="21"/>
                    </w:rPr>
                    <w:t>包装</w:t>
                  </w:r>
                  <w:r>
                    <w:rPr>
                      <w:rFonts w:hint="default" w:ascii="Times New Roman" w:hAnsi="Times New Roman" w:cs="Times New Roman"/>
                      <w:color w:val="auto"/>
                      <w:sz w:val="21"/>
                      <w:szCs w:val="21"/>
                      <w:lang w:val="en-US" w:eastAsia="zh-CN"/>
                    </w:rPr>
                    <w:t>等工序</w:t>
                  </w:r>
                  <w:r>
                    <w:rPr>
                      <w:rFonts w:hint="default" w:ascii="Times New Roman" w:hAnsi="Times New Roman" w:cs="Times New Roman"/>
                      <w:color w:val="auto"/>
                      <w:sz w:val="21"/>
                      <w:szCs w:val="21"/>
                    </w:rPr>
                    <w:t>，内设</w:t>
                  </w:r>
                  <w:r>
                    <w:rPr>
                      <w:rFonts w:hint="default" w:ascii="Times New Roman" w:hAnsi="Times New Roman" w:cs="Times New Roman"/>
                      <w:color w:val="auto"/>
                      <w:kern w:val="2"/>
                      <w:sz w:val="21"/>
                      <w:szCs w:val="21"/>
                      <w:highlight w:val="none"/>
                      <w:lang w:val="en-US" w:eastAsia="zh-CN" w:bidi="ar-SA"/>
                    </w:rPr>
                    <w:t>剥皮机</w:t>
                  </w:r>
                  <w:r>
                    <w:rPr>
                      <w:rFonts w:hint="default" w:ascii="Times New Roman" w:hAnsi="Times New Roman" w:cs="Times New Roman"/>
                      <w:color w:val="auto"/>
                      <w:sz w:val="21"/>
                      <w:szCs w:val="21"/>
                    </w:rPr>
                    <w:t>、</w:t>
                  </w:r>
                  <w:r>
                    <w:rPr>
                      <w:rFonts w:hint="default" w:ascii="Times New Roman" w:hAnsi="Times New Roman" w:cs="Times New Roman"/>
                      <w:color w:val="auto"/>
                      <w:kern w:val="0"/>
                      <w:sz w:val="21"/>
                      <w:szCs w:val="21"/>
                      <w:lang w:eastAsia="zh-CN"/>
                    </w:rPr>
                    <w:t>去头尾机</w:t>
                  </w:r>
                  <w:r>
                    <w:rPr>
                      <w:rFonts w:hint="default" w:ascii="Times New Roman" w:hAnsi="Times New Roman" w:cs="Times New Roman"/>
                      <w:color w:val="auto"/>
                      <w:sz w:val="21"/>
                      <w:szCs w:val="21"/>
                    </w:rPr>
                    <w:t>、清洗</w:t>
                  </w:r>
                  <w:r>
                    <w:rPr>
                      <w:rFonts w:hint="default" w:ascii="Times New Roman" w:hAnsi="Times New Roman" w:cs="Times New Roman"/>
                      <w:color w:val="auto"/>
                      <w:sz w:val="21"/>
                      <w:szCs w:val="21"/>
                      <w:lang w:eastAsia="zh-CN"/>
                    </w:rPr>
                    <w:t>线</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风干线、</w:t>
                  </w:r>
                  <w:r>
                    <w:rPr>
                      <w:rFonts w:hint="default" w:ascii="Times New Roman" w:hAnsi="Times New Roman" w:cs="Times New Roman"/>
                      <w:color w:val="auto"/>
                      <w:sz w:val="21"/>
                      <w:szCs w:val="21"/>
                      <w:lang w:eastAsia="zh-CN"/>
                    </w:rPr>
                    <w:t>高温灭菌锅、传送带</w:t>
                  </w:r>
                  <w:r>
                    <w:rPr>
                      <w:rFonts w:hint="default" w:ascii="Times New Roman" w:hAnsi="Times New Roman" w:cs="Times New Roman"/>
                      <w:color w:val="auto"/>
                      <w:sz w:val="21"/>
                      <w:szCs w:val="21"/>
                    </w:rPr>
                    <w:t>等，年产</w:t>
                  </w:r>
                  <w:r>
                    <w:rPr>
                      <w:rFonts w:hint="default" w:ascii="Times New Roman" w:hAnsi="Times New Roman" w:cs="Times New Roman"/>
                      <w:color w:val="auto"/>
                      <w:sz w:val="21"/>
                      <w:szCs w:val="21"/>
                      <w:lang w:eastAsia="zh-CN"/>
                    </w:rPr>
                    <w:t>鲜食</w:t>
                  </w:r>
                  <w:r>
                    <w:rPr>
                      <w:rFonts w:hint="default" w:ascii="Times New Roman" w:hAnsi="Times New Roman" w:cs="Times New Roman"/>
                      <w:color w:val="auto"/>
                      <w:sz w:val="21"/>
                      <w:szCs w:val="21"/>
                    </w:rPr>
                    <w:t>玉米</w:t>
                  </w:r>
                  <w:r>
                    <w:rPr>
                      <w:rFonts w:hint="default" w:ascii="Times New Roman" w:hAnsi="Times New Roman" w:cs="Times New Roman"/>
                      <w:color w:val="auto"/>
                      <w:sz w:val="21"/>
                      <w:szCs w:val="21"/>
                      <w:lang w:val="en-US" w:eastAsia="zh-CN"/>
                    </w:rPr>
                    <w:t>2000万穗（</w:t>
                  </w:r>
                  <w:r>
                    <w:rPr>
                      <w:rFonts w:hint="default" w:ascii="Times New Roman" w:hAnsi="Times New Roman" w:cs="Times New Roman"/>
                      <w:color w:val="auto"/>
                      <w:sz w:val="21"/>
                      <w:szCs w:val="21"/>
                    </w:rPr>
                    <w:t>4</w:t>
                  </w:r>
                  <w:r>
                    <w:rPr>
                      <w:rFonts w:hint="default" w:ascii="Times New Roman" w:hAnsi="Times New Roman" w:cs="Times New Roman"/>
                      <w:color w:val="auto"/>
                      <w:sz w:val="21"/>
                      <w:szCs w:val="21"/>
                      <w:lang w:val="en-US" w:eastAsia="zh-CN"/>
                    </w:rPr>
                    <w:t>000</w:t>
                  </w:r>
                  <w:r>
                    <w:rPr>
                      <w:rFonts w:hint="default" w:ascii="Times New Roman" w:hAnsi="Times New Roman" w:cs="Times New Roman"/>
                      <w:color w:val="auto"/>
                      <w:sz w:val="21"/>
                      <w:szCs w:val="21"/>
                    </w:rPr>
                    <w:t>吨</w:t>
                  </w:r>
                  <w:r>
                    <w:rPr>
                      <w:rFonts w:hint="default" w:ascii="Times New Roman" w:hAnsi="Times New Roman" w:cs="Times New Roman"/>
                      <w:color w:val="auto"/>
                      <w:sz w:val="21"/>
                      <w:szCs w:val="21"/>
                      <w:lang w:val="en-US" w:eastAsia="zh-CN"/>
                    </w:rPr>
                    <w:t>）。</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储运</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742" w:type="pct"/>
                  <w:tcBorders>
                    <w:tl2br w:val="nil"/>
                    <w:tr2bl w:val="nil"/>
                  </w:tcBorders>
                  <w:vAlign w:val="center"/>
                </w:tcPr>
                <w:p>
                  <w:pPr>
                    <w:jc w:val="center"/>
                    <w:rPr>
                      <w:rFonts w:hint="default" w:ascii="Times New Roman" w:hAnsi="Times New Roman" w:cs="Times New Roman"/>
                      <w:bCs/>
                      <w:snapToGrid w:val="0"/>
                      <w:color w:val="auto"/>
                      <w:sz w:val="21"/>
                      <w:szCs w:val="21"/>
                      <w:lang w:val="en-US" w:eastAsia="zh-CN"/>
                    </w:rPr>
                  </w:pPr>
                  <w:r>
                    <w:rPr>
                      <w:rFonts w:hint="default" w:ascii="Times New Roman" w:hAnsi="Times New Roman" w:cs="Times New Roman"/>
                      <w:color w:val="auto"/>
                      <w:sz w:val="21"/>
                      <w:szCs w:val="21"/>
                      <w:lang w:eastAsia="zh-CN"/>
                    </w:rPr>
                    <w:t>鲜食玉米</w:t>
                  </w:r>
                  <w:r>
                    <w:rPr>
                      <w:rFonts w:hint="default" w:ascii="Times New Roman" w:hAnsi="Times New Roman" w:cs="Times New Roman"/>
                      <w:spacing w:val="-4"/>
                      <w:sz w:val="21"/>
                      <w:szCs w:val="21"/>
                    </w:rPr>
                    <w:t>一般固废暂存区</w:t>
                  </w:r>
                </w:p>
              </w:tc>
              <w:tc>
                <w:tcPr>
                  <w:tcW w:w="3223" w:type="pct"/>
                  <w:tcBorders>
                    <w:tl2br w:val="nil"/>
                    <w:tr2bl w:val="nil"/>
                  </w:tcBorders>
                  <w:vAlign w:val="center"/>
                </w:tcPr>
                <w:p>
                  <w:pPr>
                    <w:jc w:val="center"/>
                    <w:rPr>
                      <w:rFonts w:hint="default" w:ascii="Times New Roman" w:hAnsi="Times New Roman" w:eastAsia="宋体" w:cs="Times New Roman"/>
                      <w:bCs/>
                      <w:snapToGrid w:val="0"/>
                      <w:color w:val="auto"/>
                      <w:sz w:val="21"/>
                      <w:szCs w:val="21"/>
                    </w:rPr>
                  </w:pPr>
                  <w:r>
                    <w:rPr>
                      <w:rFonts w:hint="default" w:ascii="Times New Roman" w:hAnsi="Times New Roman" w:cs="Times New Roman"/>
                      <w:sz w:val="21"/>
                      <w:szCs w:val="21"/>
                    </w:rPr>
                    <w:t>位于生产车间内，占</w:t>
                  </w:r>
                  <w:r>
                    <w:rPr>
                      <w:rFonts w:hint="default" w:ascii="Times New Roman" w:hAnsi="Times New Roman" w:cs="Times New Roman"/>
                      <w:sz w:val="21"/>
                      <w:szCs w:val="21"/>
                      <w:highlight w:val="none"/>
                    </w:rPr>
                    <w:t>地面积为</w:t>
                  </w:r>
                  <w:r>
                    <w:rPr>
                      <w:rFonts w:hint="default" w:ascii="Times New Roman" w:hAnsi="Times New Roman" w:cs="Times New Roman"/>
                      <w:sz w:val="21"/>
                      <w:szCs w:val="21"/>
                      <w:highlight w:val="none"/>
                      <w:lang w:val="en-US" w:eastAsia="zh-CN"/>
                    </w:rPr>
                    <w:t>30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r>
                    <w:rPr>
                      <w:rFonts w:hint="default" w:ascii="Times New Roman" w:hAnsi="Times New Roman" w:cs="Times New Roman"/>
                      <w:sz w:val="21"/>
                      <w:szCs w:val="21"/>
                      <w:highlight w:val="none"/>
                    </w:rPr>
                    <w:t>，项目产生的生活垃圾、废纸箱、废包装袋、玉米叶、玉米须、不合格的果穗、青穗以及废弃玉米段</w:t>
                  </w:r>
                  <w:r>
                    <w:rPr>
                      <w:rFonts w:hint="default" w:ascii="Times New Roman" w:hAnsi="Times New Roman" w:cs="Times New Roman"/>
                      <w:bCs/>
                      <w:sz w:val="21"/>
                      <w:szCs w:val="21"/>
                      <w:highlight w:val="none"/>
                    </w:rPr>
                    <w:t>暂存于生产车间固废暂存区，地面做简单防渗处理</w:t>
                  </w:r>
                </w:p>
              </w:tc>
              <w:tc>
                <w:tcPr>
                  <w:tcW w:w="478"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bCs/>
                      <w:snapToGrid w:val="0"/>
                      <w:color w:val="auto"/>
                      <w:sz w:val="21"/>
                      <w:szCs w:val="21"/>
                      <w:highlight w:val="none"/>
                      <w:lang w:val="en-US"/>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1</w:t>
                  </w:r>
                </w:p>
              </w:tc>
              <w:tc>
                <w:tcPr>
                  <w:tcW w:w="5403" w:type="dxa"/>
                  <w:tcBorders>
                    <w:tl2br w:val="nil"/>
                    <w:tr2bl w:val="nil"/>
                  </w:tcBorders>
                  <w:vAlign w:val="center"/>
                </w:tcPr>
                <w:p>
                  <w:pPr>
                    <w:jc w:val="center"/>
                    <w:rPr>
                      <w:rFonts w:hint="default" w:ascii="Times New Roman" w:hAnsi="Times New Roman" w:eastAsia="宋体" w:cs="Times New Roman"/>
                      <w:bCs/>
                      <w:snapToGrid w:val="0"/>
                      <w:color w:val="auto"/>
                      <w:sz w:val="21"/>
                      <w:szCs w:val="21"/>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576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576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一层，钢结构，最多能存储</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8" w:type="pct"/>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1244" w:type="dxa"/>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2</w:t>
                  </w:r>
                </w:p>
              </w:tc>
              <w:tc>
                <w:tcPr>
                  <w:tcW w:w="5402" w:type="dxa"/>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一层，钢结构，最多能存储</w:t>
                  </w: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8"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1244" w:type="dxa"/>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3</w:t>
                  </w:r>
                </w:p>
              </w:tc>
              <w:tc>
                <w:tcPr>
                  <w:tcW w:w="5402" w:type="dxa"/>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416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832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二</w:t>
                  </w:r>
                  <w:r>
                    <w:rPr>
                      <w:rFonts w:hint="default" w:ascii="Times New Roman" w:hAnsi="Times New Roman" w:cs="Times New Roman"/>
                      <w:color w:val="auto"/>
                      <w:sz w:val="21"/>
                      <w:szCs w:val="21"/>
                      <w:highlight w:val="none"/>
                      <w:lang w:eastAsia="zh-CN"/>
                    </w:rPr>
                    <w:t>层，钢结构，最多能存储</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8"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cs="Times New Roman"/>
                      <w:color w:val="auto"/>
                      <w:spacing w:val="-4"/>
                      <w:sz w:val="21"/>
                      <w:szCs w:val="21"/>
                      <w:highlight w:val="none"/>
                      <w:lang w:eastAsia="zh-CN"/>
                    </w:rPr>
                    <w:t>灰渣间</w:t>
                  </w:r>
                </w:p>
              </w:tc>
              <w:tc>
                <w:tcPr>
                  <w:tcW w:w="3223"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rPr>
                    <w:t>灰渣</w:t>
                  </w:r>
                  <w:r>
                    <w:rPr>
                      <w:rFonts w:hint="default" w:ascii="Times New Roman" w:hAnsi="Times New Roman" w:cs="Times New Roman"/>
                      <w:color w:val="auto"/>
                      <w:sz w:val="21"/>
                      <w:szCs w:val="21"/>
                      <w:highlight w:val="none"/>
                      <w:lang w:eastAsia="zh-CN"/>
                    </w:rPr>
                    <w:t>间</w:t>
                  </w: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pacing w:val="-4"/>
                      <w:sz w:val="21"/>
                      <w:szCs w:val="21"/>
                      <w:highlight w:val="none"/>
                    </w:rPr>
                    <w:t>锅炉房</w:t>
                  </w:r>
                  <w:r>
                    <w:rPr>
                      <w:rFonts w:hint="eastAsia" w:cs="Times New Roman"/>
                      <w:color w:val="auto"/>
                      <w:sz w:val="21"/>
                      <w:szCs w:val="21"/>
                      <w:highlight w:val="none"/>
                      <w:lang w:val="en-US" w:eastAsia="zh-CN"/>
                    </w:rPr>
                    <w:t>西侧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灰渣间</w:t>
                  </w:r>
                  <w:r>
                    <w:rPr>
                      <w:rFonts w:hint="default" w:ascii="Times New Roman" w:hAnsi="Times New Roman" w:cs="Times New Roman"/>
                      <w:color w:val="auto"/>
                      <w:sz w:val="21"/>
                      <w:szCs w:val="21"/>
                      <w:highlight w:val="none"/>
                    </w:rPr>
                    <w:t>地面做防渗处理，</w:t>
                  </w:r>
                  <w:r>
                    <w:rPr>
                      <w:rFonts w:hint="default" w:ascii="Times New Roman" w:hAnsi="Times New Roman" w:cs="Times New Roman"/>
                      <w:color w:val="auto"/>
                      <w:sz w:val="21"/>
                      <w:szCs w:val="21"/>
                      <w:highlight w:val="none"/>
                      <w:lang w:eastAsia="zh-CN"/>
                    </w:rPr>
                    <w:t>灰渣间</w:t>
                  </w:r>
                  <w:r>
                    <w:rPr>
                      <w:rFonts w:hint="default" w:ascii="Times New Roman" w:hAnsi="Times New Roman" w:cs="Times New Roman"/>
                      <w:color w:val="auto"/>
                      <w:sz w:val="21"/>
                      <w:szCs w:val="21"/>
                      <w:highlight w:val="none"/>
                    </w:rPr>
                    <w:t>密闭，</w:t>
                  </w:r>
                  <w:r>
                    <w:rPr>
                      <w:rFonts w:hint="default" w:ascii="Times New Roman" w:hAnsi="Times New Roman" w:cs="Times New Roman"/>
                      <w:color w:val="auto"/>
                      <w:sz w:val="21"/>
                      <w:szCs w:val="21"/>
                      <w:highlight w:val="none"/>
                      <w:lang w:eastAsia="zh-CN"/>
                    </w:rPr>
                    <w:t>日产日清，</w:t>
                  </w:r>
                  <w:r>
                    <w:rPr>
                      <w:rFonts w:hint="default" w:ascii="Times New Roman" w:hAnsi="Times New Roman" w:cs="Times New Roman"/>
                      <w:color w:val="auto"/>
                      <w:sz w:val="21"/>
                      <w:szCs w:val="21"/>
                      <w:highlight w:val="none"/>
                    </w:rPr>
                    <w:t>最大存储灰渣</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t</w:t>
                  </w:r>
                </w:p>
              </w:tc>
              <w:tc>
                <w:tcPr>
                  <w:tcW w:w="478" w:type="pct"/>
                  <w:tcBorders>
                    <w:tl2br w:val="nil"/>
                    <w:tr2bl w:val="nil"/>
                  </w:tcBorders>
                  <w:vAlign w:val="center"/>
                </w:tcPr>
                <w:p>
                  <w:pPr>
                    <w:jc w:val="center"/>
                    <w:rPr>
                      <w:rFonts w:hint="default" w:ascii="Times New Roman" w:hAnsi="Times New Roman" w:eastAsia="宋体" w:cs="Times New Roman"/>
                      <w:color w:val="auto"/>
                      <w:sz w:val="21"/>
                      <w:szCs w:val="21"/>
                      <w:highlight w:val="green"/>
                      <w:lang w:eastAsia="zh-CN"/>
                    </w:rPr>
                  </w:pPr>
                  <w:r>
                    <w:rPr>
                      <w:rFonts w:hint="default" w:ascii="Times New Roman" w:hAnsi="Times New Roman" w:cs="Times New Roman"/>
                      <w:color w:val="auto"/>
                      <w:sz w:val="21"/>
                      <w:szCs w:val="21"/>
                      <w:lang w:val="en-US" w:eastAsia="zh-CN"/>
                    </w:rPr>
                    <w:t>拟</w:t>
                  </w:r>
                  <w:r>
                    <w:rPr>
                      <w:rFonts w:hint="default" w:ascii="Times New Roman" w:hAnsi="Times New Roman" w:eastAsia="宋体" w:cs="Times New Roman"/>
                      <w:color w:val="auto"/>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4"/>
                      <w:sz w:val="21"/>
                      <w:szCs w:val="21"/>
                      <w:highlight w:val="none"/>
                    </w:rPr>
                    <w:t>燃料库</w:t>
                  </w:r>
                </w:p>
              </w:tc>
              <w:tc>
                <w:tcPr>
                  <w:tcW w:w="3223"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4"/>
                      <w:sz w:val="21"/>
                      <w:szCs w:val="21"/>
                      <w:highlight w:val="none"/>
                    </w:rPr>
                    <w:t>燃料库</w:t>
                  </w:r>
                  <w:r>
                    <w:rPr>
                      <w:rFonts w:hint="default" w:ascii="Times New Roman" w:hAnsi="Times New Roman" w:cs="Times New Roman"/>
                      <w:color w:val="auto"/>
                      <w:sz w:val="21"/>
                      <w:szCs w:val="21"/>
                      <w:highlight w:val="none"/>
                    </w:rPr>
                    <w:t>位于</w:t>
                  </w:r>
                  <w:r>
                    <w:rPr>
                      <w:rFonts w:hint="default" w:ascii="Times New Roman" w:hAnsi="Times New Roman" w:cs="Times New Roman"/>
                      <w:color w:val="auto"/>
                      <w:spacing w:val="-4"/>
                      <w:sz w:val="21"/>
                      <w:szCs w:val="21"/>
                      <w:highlight w:val="none"/>
                    </w:rPr>
                    <w:t>锅炉房</w:t>
                  </w:r>
                  <w:r>
                    <w:rPr>
                      <w:rFonts w:hint="eastAsia" w:cs="Times New Roman"/>
                      <w:color w:val="auto"/>
                      <w:sz w:val="21"/>
                      <w:szCs w:val="21"/>
                      <w:highlight w:val="none"/>
                      <w:lang w:val="en-US" w:eastAsia="zh-CN"/>
                    </w:rPr>
                    <w:t>南侧</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default" w:ascii="Times New Roman" w:hAnsi="Times New Roman" w:cs="Times New Roman"/>
                      <w:color w:val="auto"/>
                      <w:sz w:val="21"/>
                      <w:szCs w:val="21"/>
                      <w:highlight w:val="none"/>
                      <w:lang w:val="en-US" w:eastAsia="zh-CN"/>
                    </w:rPr>
                    <w:t>48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default" w:ascii="Times New Roman" w:hAnsi="Times New Roman" w:cs="Times New Roman"/>
                      <w:color w:val="auto"/>
                      <w:sz w:val="21"/>
                      <w:szCs w:val="21"/>
                      <w:highlight w:val="none"/>
                      <w:lang w:val="en-US" w:eastAsia="zh-CN"/>
                    </w:rPr>
                    <w:t>48</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4"/>
                      <w:sz w:val="21"/>
                      <w:szCs w:val="21"/>
                      <w:highlight w:val="none"/>
                    </w:rPr>
                    <w:t>燃料库</w:t>
                  </w:r>
                  <w:r>
                    <w:rPr>
                      <w:rFonts w:hint="default" w:ascii="Times New Roman" w:hAnsi="Times New Roman" w:cs="Times New Roman"/>
                      <w:color w:val="auto"/>
                      <w:sz w:val="21"/>
                      <w:szCs w:val="21"/>
                      <w:highlight w:val="none"/>
                    </w:rPr>
                    <w:t>地面做防渗处理，</w:t>
                  </w:r>
                  <w:r>
                    <w:rPr>
                      <w:rFonts w:hint="default" w:ascii="Times New Roman" w:hAnsi="Times New Roman" w:cs="Times New Roman"/>
                      <w:color w:val="auto"/>
                      <w:spacing w:val="-4"/>
                      <w:sz w:val="21"/>
                      <w:szCs w:val="21"/>
                      <w:highlight w:val="none"/>
                    </w:rPr>
                    <w:t>燃料库</w:t>
                  </w:r>
                  <w:r>
                    <w:rPr>
                      <w:rFonts w:hint="default" w:ascii="Times New Roman" w:hAnsi="Times New Roman" w:cs="Times New Roman"/>
                      <w:color w:val="auto"/>
                      <w:sz w:val="21"/>
                      <w:szCs w:val="21"/>
                      <w:highlight w:val="none"/>
                    </w:rPr>
                    <w:t>密闭，最大存储</w:t>
                  </w:r>
                  <w:r>
                    <w:rPr>
                      <w:rFonts w:hint="default" w:ascii="Times New Roman" w:hAnsi="Times New Roman" w:cs="Times New Roman"/>
                      <w:color w:val="auto"/>
                      <w:sz w:val="21"/>
                      <w:szCs w:val="21"/>
                      <w:highlight w:val="none"/>
                      <w:lang w:eastAsia="zh-CN"/>
                    </w:rPr>
                    <w:t>生物质燃料</w:t>
                  </w:r>
                  <w:r>
                    <w:rPr>
                      <w:rFonts w:hint="default"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lang w:eastAsia="zh-CN"/>
                    </w:rPr>
                    <w:t>。</w:t>
                  </w:r>
                </w:p>
              </w:tc>
              <w:tc>
                <w:tcPr>
                  <w:tcW w:w="478" w:type="pct"/>
                  <w:tcBorders>
                    <w:tl2br w:val="nil"/>
                    <w:tr2bl w:val="nil"/>
                  </w:tcBorders>
                  <w:vAlign w:val="center"/>
                </w:tcPr>
                <w:p>
                  <w:pPr>
                    <w:jc w:val="center"/>
                    <w:rPr>
                      <w:rFonts w:hint="default" w:ascii="Times New Roman" w:hAnsi="Times New Roman" w:eastAsia="宋体" w:cs="Times New Roman"/>
                      <w:color w:val="auto"/>
                      <w:sz w:val="21"/>
                      <w:szCs w:val="21"/>
                      <w:highlight w:val="green"/>
                      <w:lang w:eastAsia="zh-CN"/>
                    </w:rPr>
                  </w:pPr>
                  <w:r>
                    <w:rPr>
                      <w:rFonts w:hint="default" w:ascii="Times New Roman" w:hAnsi="Times New Roman" w:cs="Times New Roman"/>
                      <w:color w:val="auto"/>
                      <w:sz w:val="21"/>
                      <w:szCs w:val="21"/>
                      <w:lang w:val="en-US" w:eastAsia="zh-CN"/>
                    </w:rPr>
                    <w:t>拟</w:t>
                  </w:r>
                  <w:r>
                    <w:rPr>
                      <w:rFonts w:hint="default" w:ascii="Times New Roman" w:hAnsi="Times New Roman" w:eastAsia="宋体" w:cs="Times New Roman"/>
                      <w:color w:val="auto"/>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742" w:type="pct"/>
                  <w:tcBorders>
                    <w:tl2br w:val="nil"/>
                    <w:tr2bl w:val="nil"/>
                  </w:tcBorders>
                  <w:vAlign w:val="center"/>
                </w:tcPr>
                <w:p>
                  <w:pPr>
                    <w:jc w:val="center"/>
                    <w:rPr>
                      <w:rFonts w:hint="default" w:ascii="Times New Roman" w:hAnsi="Times New Roman" w:eastAsia="宋体" w:cs="Times New Roman"/>
                      <w:color w:val="auto"/>
                      <w:spacing w:val="-4"/>
                      <w:kern w:val="2"/>
                      <w:sz w:val="21"/>
                      <w:szCs w:val="21"/>
                      <w:lang w:val="en-US" w:eastAsia="zh-CN" w:bidi="ar-SA"/>
                    </w:rPr>
                  </w:pPr>
                  <w:r>
                    <w:rPr>
                      <w:rFonts w:hint="default" w:ascii="Times New Roman" w:hAnsi="Times New Roman" w:cs="Times New Roman"/>
                      <w:color w:val="auto"/>
                      <w:spacing w:val="-4"/>
                      <w:sz w:val="21"/>
                      <w:szCs w:val="21"/>
                    </w:rPr>
                    <w:t>办公室</w:t>
                  </w:r>
                </w:p>
              </w:tc>
              <w:tc>
                <w:tcPr>
                  <w:tcW w:w="3223"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建筑面积为</w:t>
                  </w:r>
                  <w:r>
                    <w:rPr>
                      <w:rFonts w:hint="default" w:ascii="Times New Roman" w:hAnsi="Times New Roman" w:cs="Times New Roman"/>
                      <w:color w:val="auto"/>
                      <w:sz w:val="21"/>
                      <w:szCs w:val="21"/>
                      <w:lang w:val="en-US" w:eastAsia="zh-CN"/>
                    </w:rPr>
                    <w:t>110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，用于员工日常办公和休息</w:t>
                  </w:r>
                </w:p>
              </w:tc>
              <w:tc>
                <w:tcPr>
                  <w:tcW w:w="478"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pacing w:val="-4"/>
                      <w:kern w:val="2"/>
                      <w:sz w:val="21"/>
                      <w:szCs w:val="21"/>
                      <w:lang w:val="en-US" w:eastAsia="zh-CN" w:bidi="ar-SA"/>
                    </w:rPr>
                  </w:pPr>
                  <w:r>
                    <w:rPr>
                      <w:rFonts w:hint="default" w:ascii="Times New Roman" w:hAnsi="Times New Roman" w:cs="Times New Roman"/>
                      <w:color w:val="auto"/>
                      <w:spacing w:val="-4"/>
                      <w:sz w:val="21"/>
                      <w:szCs w:val="21"/>
                      <w:lang w:eastAsia="zh-CN"/>
                    </w:rPr>
                    <w:t>食堂</w:t>
                  </w:r>
                </w:p>
              </w:tc>
              <w:tc>
                <w:tcPr>
                  <w:tcW w:w="3223"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建筑面积为</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c>
                <w:tcPr>
                  <w:tcW w:w="478"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pacing w:val="-4"/>
                      <w:sz w:val="21"/>
                      <w:szCs w:val="21"/>
                      <w:highlight w:val="none"/>
                    </w:rPr>
                    <w:t>锅炉房</w:t>
                  </w:r>
                </w:p>
              </w:tc>
              <w:tc>
                <w:tcPr>
                  <w:tcW w:w="3223" w:type="pct"/>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w:t>
                  </w:r>
                  <w:r>
                    <w:rPr>
                      <w:rFonts w:hint="default" w:ascii="Times New Roman" w:hAnsi="Times New Roman" w:cs="Times New Roman"/>
                      <w:color w:val="auto"/>
                      <w:sz w:val="21"/>
                      <w:szCs w:val="21"/>
                      <w:highlight w:val="none"/>
                      <w:lang w:val="en-US" w:eastAsia="zh-CN"/>
                    </w:rPr>
                    <w:t>7m，</w:t>
                  </w:r>
                  <w:r>
                    <w:rPr>
                      <w:rFonts w:hint="default" w:ascii="Times New Roman" w:hAnsi="Times New Roman" w:cs="Times New Roman"/>
                      <w:color w:val="auto"/>
                      <w:spacing w:val="-4"/>
                      <w:sz w:val="21"/>
                      <w:szCs w:val="21"/>
                      <w:highlight w:val="none"/>
                    </w:rPr>
                    <w:t>锅炉房</w:t>
                  </w:r>
                  <w:r>
                    <w:rPr>
                      <w:rFonts w:hint="default" w:ascii="Times New Roman" w:hAnsi="Times New Roman" w:cs="Times New Roman"/>
                      <w:color w:val="auto"/>
                      <w:sz w:val="21"/>
                      <w:szCs w:val="21"/>
                      <w:highlight w:val="none"/>
                    </w:rPr>
                    <w:t>内设置1台</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t/h燃生物质蒸汽锅炉</w:t>
                  </w:r>
                  <w:r>
                    <w:rPr>
                      <w:rFonts w:hint="eastAsia"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1台</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t/h燃生物质蒸汽锅炉</w:t>
                  </w:r>
                  <w:r>
                    <w:rPr>
                      <w:rFonts w:hint="default" w:ascii="Times New Roman" w:hAnsi="Times New Roman" w:cs="Times New Roman"/>
                      <w:color w:val="auto"/>
                      <w:sz w:val="21"/>
                      <w:szCs w:val="21"/>
                      <w:highlight w:val="none"/>
                    </w:rPr>
                    <w:t>，用于提供项目生产用</w:t>
                  </w:r>
                  <w:r>
                    <w:rPr>
                      <w:rFonts w:hint="default" w:ascii="Times New Roman" w:hAnsi="Times New Roman" w:cs="Times New Roman"/>
                      <w:color w:val="auto"/>
                      <w:sz w:val="21"/>
                      <w:szCs w:val="21"/>
                      <w:highlight w:val="none"/>
                      <w:lang w:eastAsia="zh-CN"/>
                    </w:rPr>
                    <w:t>蒸汽</w:t>
                  </w:r>
                </w:p>
              </w:tc>
              <w:tc>
                <w:tcPr>
                  <w:tcW w:w="478"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pacing w:val="-4"/>
                      <w:kern w:val="2"/>
                      <w:sz w:val="21"/>
                      <w:szCs w:val="21"/>
                      <w:lang w:val="en-US" w:eastAsia="zh-CN" w:bidi="ar-SA"/>
                    </w:rPr>
                  </w:pPr>
                  <w:r>
                    <w:rPr>
                      <w:rFonts w:hint="eastAsia" w:cs="Times New Roman"/>
                      <w:color w:val="auto"/>
                      <w:spacing w:val="-4"/>
                      <w:sz w:val="21"/>
                      <w:szCs w:val="21"/>
                      <w:lang w:eastAsia="zh-CN"/>
                    </w:rPr>
                    <w:t>软化水处理间</w:t>
                  </w:r>
                </w:p>
              </w:tc>
              <w:tc>
                <w:tcPr>
                  <w:tcW w:w="3223" w:type="pct"/>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占地面积</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设置一套离子交换树脂</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软化水装置</w:t>
                  </w:r>
                  <w:r>
                    <w:rPr>
                      <w:rFonts w:hint="default" w:ascii="Times New Roman" w:hAnsi="Times New Roman" w:cs="Times New Roman"/>
                      <w:b w:val="0"/>
                      <w:bCs/>
                      <w:color w:val="auto"/>
                      <w:sz w:val="21"/>
                      <w:szCs w:val="21"/>
                      <w:highlight w:val="none"/>
                      <w:lang w:val="en-US" w:eastAsia="zh-CN"/>
                    </w:rPr>
                    <w:t>处理能力为</w:t>
                  </w:r>
                  <w:r>
                    <w:rPr>
                      <w:rFonts w:hint="default" w:ascii="Times New Roman" w:hAnsi="Times New Roman" w:cs="Times New Roman"/>
                      <w:color w:val="auto"/>
                      <w:sz w:val="21"/>
                      <w:szCs w:val="21"/>
                      <w:highlight w:val="none"/>
                      <w:lang w:val="en-US" w:eastAsia="zh-CN"/>
                    </w:rPr>
                    <w:t>60t/h</w:t>
                  </w:r>
                </w:p>
              </w:tc>
              <w:tc>
                <w:tcPr>
                  <w:tcW w:w="478"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highlight w:val="green"/>
                    </w:rPr>
                  </w:pPr>
                  <w:r>
                    <w:rPr>
                      <w:rFonts w:hint="default" w:ascii="Times New Roman" w:hAnsi="Times New Roman" w:cs="Times New Roman"/>
                      <w:sz w:val="21"/>
                      <w:szCs w:val="21"/>
                    </w:rPr>
                    <w:t>给水工程</w:t>
                  </w:r>
                </w:p>
              </w:tc>
              <w:tc>
                <w:tcPr>
                  <w:tcW w:w="3223" w:type="pct"/>
                  <w:tcBorders>
                    <w:tl2br w:val="nil"/>
                    <w:tr2bl w:val="nil"/>
                  </w:tcBorders>
                  <w:vAlign w:val="center"/>
                </w:tcPr>
                <w:p>
                  <w:pPr>
                    <w:jc w:val="center"/>
                    <w:rPr>
                      <w:rFonts w:hint="default" w:ascii="Times New Roman" w:hAnsi="Times New Roman" w:eastAsia="宋体" w:cs="Times New Roman"/>
                      <w:color w:val="auto"/>
                      <w:sz w:val="21"/>
                      <w:szCs w:val="21"/>
                      <w:highlight w:val="green"/>
                      <w:lang w:eastAsia="zh-CN"/>
                    </w:rPr>
                  </w:pPr>
                  <w:r>
                    <w:rPr>
                      <w:rFonts w:hint="default" w:ascii="Times New Roman" w:hAnsi="Times New Roman" w:cs="Times New Roman"/>
                      <w:sz w:val="21"/>
                      <w:szCs w:val="21"/>
                      <w:lang w:eastAsia="zh-CN"/>
                    </w:rPr>
                    <w:t>本项目用水由市政供水管网提供。</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highlight w:val="green"/>
                    </w:rPr>
                  </w:pPr>
                  <w:r>
                    <w:rPr>
                      <w:rFonts w:hint="default" w:ascii="Times New Roman" w:hAnsi="Times New Roman" w:cs="Times New Roman"/>
                      <w:sz w:val="21"/>
                      <w:szCs w:val="21"/>
                    </w:rPr>
                    <w:t>排水工程</w:t>
                  </w:r>
                </w:p>
              </w:tc>
              <w:tc>
                <w:tcPr>
                  <w:tcW w:w="3223" w:type="pct"/>
                  <w:tcBorders>
                    <w:tl2br w:val="nil"/>
                    <w:tr2bl w:val="nil"/>
                  </w:tcBorders>
                  <w:vAlign w:val="center"/>
                </w:tcPr>
                <w:p>
                  <w:pPr>
                    <w:ind w:left="-107" w:leftChars="-51" w:right="-115" w:rightChars="-55"/>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锅炉排污水及软化处理废水用于锅炉房、灰渣间、厂区洒水降尘，不外排；</w:t>
                  </w:r>
                  <w:r>
                    <w:rPr>
                      <w:rFonts w:hint="default" w:ascii="Times New Roman" w:hAnsi="Times New Roman" w:cs="Times New Roman"/>
                      <w:color w:val="auto"/>
                      <w:sz w:val="21"/>
                      <w:szCs w:val="21"/>
                      <w:highlight w:val="none"/>
                      <w:lang w:val="en-US" w:eastAsia="zh-CN"/>
                    </w:rPr>
                    <w:t>生活污水进入厂区内防渗旱厕，</w:t>
                  </w:r>
                  <w:r>
                    <w:rPr>
                      <w:rFonts w:hint="default" w:ascii="Times New Roman" w:hAnsi="Times New Roman" w:cs="Times New Roman"/>
                      <w:color w:val="auto"/>
                      <w:sz w:val="21"/>
                      <w:szCs w:val="21"/>
                      <w:highlight w:val="none"/>
                    </w:rPr>
                    <w:t>定期清掏，外运堆肥。清洗</w:t>
                  </w:r>
                  <w:r>
                    <w:rPr>
                      <w:rFonts w:hint="default"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eastAsia="zh-CN"/>
                    </w:rPr>
                    <w:t>水</w:t>
                  </w:r>
                  <w:r>
                    <w:rPr>
                      <w:rFonts w:hint="default" w:ascii="Times New Roman" w:hAnsi="Times New Roman" w:cs="Times New Roman"/>
                      <w:color w:val="auto"/>
                      <w:sz w:val="21"/>
                      <w:szCs w:val="21"/>
                      <w:highlight w:val="none"/>
                    </w:rPr>
                    <w:t>、车间地面冲洗废水暂存于30m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的密闭储罐内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每天由专用罐车拉运至</w:t>
                  </w:r>
                  <w:r>
                    <w:rPr>
                      <w:rFonts w:hint="eastAsia" w:cs="Times New Roman"/>
                      <w:color w:val="auto"/>
                      <w:sz w:val="21"/>
                      <w:szCs w:val="21"/>
                      <w:highlight w:val="none"/>
                      <w:lang w:eastAsia="zh-CN"/>
                    </w:rPr>
                    <w:t>五常市民泉污水处理有限公司</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kern w:val="0"/>
                      <w:sz w:val="21"/>
                      <w:szCs w:val="21"/>
                      <w:highlight w:val="none"/>
                    </w:rPr>
                    <w:t>日产日清</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green"/>
                    </w:rPr>
                  </w:pPr>
                  <w:r>
                    <w:rPr>
                      <w:rFonts w:hint="default" w:ascii="Times New Roman" w:hAnsi="Times New Roman"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highlight w:val="green"/>
                      <w:lang w:eastAsia="zh-CN"/>
                    </w:rPr>
                  </w:pPr>
                  <w:r>
                    <w:rPr>
                      <w:rFonts w:hint="default" w:ascii="Times New Roman" w:hAnsi="Times New Roman" w:cs="Times New Roman"/>
                      <w:sz w:val="21"/>
                      <w:szCs w:val="21"/>
                    </w:rPr>
                    <w:t>供电工程</w:t>
                  </w:r>
                </w:p>
              </w:tc>
              <w:tc>
                <w:tcPr>
                  <w:tcW w:w="3223"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z w:val="21"/>
                      <w:szCs w:val="21"/>
                      <w:highlight w:val="none"/>
                    </w:rPr>
                    <w:t>由电业局提供</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green"/>
                    </w:rPr>
                  </w:pPr>
                  <w:r>
                    <w:rPr>
                      <w:rFonts w:hint="default" w:ascii="Times New Roman" w:hAnsi="Times New Roman"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highlight w:val="green"/>
                    </w:rPr>
                  </w:pPr>
                  <w:r>
                    <w:rPr>
                      <w:rFonts w:hint="default" w:ascii="Times New Roman" w:hAnsi="Times New Roman" w:cs="Times New Roman"/>
                      <w:sz w:val="21"/>
                      <w:szCs w:val="21"/>
                    </w:rPr>
                    <w:t>供热工程</w:t>
                  </w:r>
                </w:p>
              </w:tc>
              <w:tc>
                <w:tcPr>
                  <w:tcW w:w="3223"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sz w:val="21"/>
                      <w:szCs w:val="21"/>
                      <w:highlight w:val="none"/>
                    </w:rPr>
                    <w:t>项目</w:t>
                  </w:r>
                  <w:r>
                    <w:rPr>
                      <w:rFonts w:hint="default" w:ascii="Times New Roman" w:hAnsi="Times New Roman" w:cs="Times New Roman"/>
                      <w:sz w:val="21"/>
                      <w:szCs w:val="21"/>
                      <w:highlight w:val="none"/>
                      <w:lang w:eastAsia="zh-CN"/>
                    </w:rPr>
                    <w:t>生产鲜食玉米的</w:t>
                  </w:r>
                  <w:r>
                    <w:rPr>
                      <w:rFonts w:hint="default" w:ascii="Times New Roman" w:hAnsi="Times New Roman" w:cs="Times New Roman"/>
                      <w:sz w:val="21"/>
                      <w:szCs w:val="21"/>
                      <w:highlight w:val="none"/>
                    </w:rPr>
                    <w:t>蒸汽由</w:t>
                  </w:r>
                  <w:r>
                    <w:rPr>
                      <w:rFonts w:hint="default" w:ascii="Times New Roman" w:hAnsi="Times New Roman" w:cs="Times New Roman"/>
                      <w:color w:val="auto"/>
                      <w:sz w:val="21"/>
                      <w:szCs w:val="21"/>
                      <w:highlight w:val="none"/>
                    </w:rPr>
                    <w:t>1台</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t/h燃生物质蒸汽锅炉</w:t>
                  </w:r>
                  <w:r>
                    <w:rPr>
                      <w:rFonts w:hint="eastAsia"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1台</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t/h燃生物质蒸汽锅炉</w:t>
                  </w:r>
                  <w:r>
                    <w:rPr>
                      <w:rFonts w:hint="default" w:ascii="Times New Roman" w:hAnsi="Times New Roman" w:cs="Times New Roman"/>
                      <w:sz w:val="21"/>
                      <w:szCs w:val="21"/>
                      <w:highlight w:val="none"/>
                    </w:rPr>
                    <w:t>提供</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sz w:val="21"/>
                      <w:szCs w:val="21"/>
                      <w:highlight w:val="none"/>
                    </w:rPr>
                    <w:t>办公室供暖采用电取暖。</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已</w:t>
                  </w:r>
                  <w:r>
                    <w:rPr>
                      <w:rFonts w:hint="default" w:ascii="Times New Roman" w:hAnsi="Times New Roman" w:eastAsia="宋体" w:cs="Times New Roman"/>
                      <w:color w:val="auto"/>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7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3223" w:type="pct"/>
                  <w:tcBorders>
                    <w:tl2br w:val="nil"/>
                    <w:tr2bl w:val="nil"/>
                  </w:tcBorders>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color w:val="auto"/>
                      <w:kern w:val="0"/>
                      <w:sz w:val="21"/>
                      <w:szCs w:val="21"/>
                    </w:rPr>
                    <w:t>本项目</w:t>
                  </w:r>
                  <w:r>
                    <w:rPr>
                      <w:rFonts w:hint="eastAsia" w:cs="Times New Roman"/>
                      <w:bCs/>
                      <w:color w:val="auto"/>
                      <w:kern w:val="0"/>
                      <w:sz w:val="21"/>
                      <w:szCs w:val="21"/>
                      <w:lang w:val="en-US" w:eastAsia="zh-CN"/>
                    </w:rPr>
                    <w:t>4t/h、6t/h燃生物质蒸汽锅炉产生的烟气经1台布袋除尘器处理后经1根35m高</w:t>
                  </w:r>
                  <w:r>
                    <w:rPr>
                      <w:rFonts w:hint="default" w:ascii="Times New Roman" w:hAnsi="Times New Roman" w:cs="Times New Roman"/>
                      <w:bCs/>
                      <w:color w:val="auto"/>
                      <w:kern w:val="0"/>
                      <w:sz w:val="21"/>
                      <w:szCs w:val="21"/>
                    </w:rPr>
                    <w:t>烟囱</w:t>
                  </w:r>
                  <w:r>
                    <w:rPr>
                      <w:rFonts w:hint="default" w:ascii="Times New Roman" w:hAnsi="Times New Roman" w:cs="Times New Roman"/>
                      <w:bCs/>
                      <w:kern w:val="0"/>
                      <w:sz w:val="21"/>
                      <w:szCs w:val="21"/>
                    </w:rPr>
                    <w:t>（DA001）排放，布袋除尘器处理效率为</w:t>
                  </w:r>
                  <w:r>
                    <w:rPr>
                      <w:rFonts w:hint="eastAsia" w:cs="Times New Roman"/>
                      <w:bCs/>
                      <w:kern w:val="0"/>
                      <w:sz w:val="21"/>
                      <w:szCs w:val="21"/>
                      <w:lang w:eastAsia="zh-CN"/>
                    </w:rPr>
                    <w:t>99.2%</w:t>
                  </w:r>
                  <w:r>
                    <w:rPr>
                      <w:rFonts w:hint="default" w:ascii="Times New Roman" w:hAnsi="Times New Roman" w:cs="Times New Roman"/>
                      <w:bCs/>
                      <w:kern w:val="0"/>
                      <w:sz w:val="21"/>
                      <w:szCs w:val="21"/>
                    </w:rPr>
                    <w:t>，满足《锅炉大气污染物排放标准》（GB13271-2014）</w:t>
                  </w:r>
                  <w:r>
                    <w:rPr>
                      <w:rFonts w:hint="default" w:ascii="Times New Roman" w:hAnsi="Times New Roman" w:cs="Times New Roman"/>
                      <w:bCs/>
                      <w:kern w:val="0"/>
                      <w:sz w:val="21"/>
                      <w:szCs w:val="21"/>
                      <w:lang w:eastAsia="zh-CN"/>
                    </w:rPr>
                    <w:t>表3大气污染物特别排放限值中燃煤锅炉标准</w:t>
                  </w:r>
                  <w:r>
                    <w:rPr>
                      <w:rFonts w:hint="default" w:ascii="Times New Roman" w:hAnsi="Times New Roman" w:cs="Times New Roman"/>
                      <w:bCs/>
                      <w:kern w:val="0"/>
                      <w:sz w:val="21"/>
                      <w:szCs w:val="21"/>
                    </w:rPr>
                    <w:t>中燃煤锅炉要求</w:t>
                  </w:r>
                  <w:r>
                    <w:rPr>
                      <w:rFonts w:hint="default" w:ascii="Times New Roman" w:hAnsi="Times New Roman" w:eastAsia="宋体" w:cs="Times New Roman"/>
                      <w:bCs/>
                      <w:color w:val="auto"/>
                      <w:kern w:val="0"/>
                      <w:sz w:val="21"/>
                      <w:szCs w:val="21"/>
                    </w:rPr>
                    <w:t>。</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拟</w:t>
                  </w:r>
                  <w:r>
                    <w:rPr>
                      <w:rFonts w:hint="default" w:ascii="Times New Roman" w:hAnsi="Times New Roman" w:eastAsia="宋体" w:cs="Times New Roman"/>
                      <w:color w:val="auto"/>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green"/>
                    </w:rPr>
                  </w:pPr>
                </w:p>
              </w:tc>
              <w:tc>
                <w:tcPr>
                  <w:tcW w:w="3223" w:type="pct"/>
                  <w:tcBorders>
                    <w:tl2br w:val="nil"/>
                    <w:tr2bl w:val="nil"/>
                  </w:tcBorders>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采用封闭的灰渣间，灰渣间采用喷洒水降尘，处理效率70%。</w:t>
                  </w:r>
                  <w:r>
                    <w:rPr>
                      <w:rFonts w:hint="default" w:ascii="Times New Roman" w:hAnsi="Times New Roman" w:eastAsia="宋体" w:cs="Times New Roman"/>
                      <w:bCs/>
                      <w:color w:val="auto"/>
                      <w:kern w:val="0"/>
                      <w:sz w:val="21"/>
                      <w:szCs w:val="21"/>
                      <w:lang w:val="en-US" w:eastAsia="zh-CN"/>
                    </w:rPr>
                    <w:t>厂界颗粒物排放满足《大气污染物综合排放标准》（GB16297-1996）标准的要求</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green"/>
                    </w:rPr>
                  </w:pPr>
                </w:p>
              </w:tc>
              <w:tc>
                <w:tcPr>
                  <w:tcW w:w="3223" w:type="pct"/>
                  <w:tcBorders>
                    <w:tl2br w:val="nil"/>
                    <w:tr2bl w:val="nil"/>
                  </w:tcBorders>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本项目玉米</w:t>
                  </w:r>
                  <w:r>
                    <w:rPr>
                      <w:rFonts w:hint="default" w:ascii="Times New Roman" w:hAnsi="Times New Roman" w:cs="Times New Roman"/>
                      <w:sz w:val="21"/>
                      <w:szCs w:val="21"/>
                      <w:lang w:eastAsia="zh-CN"/>
                    </w:rPr>
                    <w:t>蒸煮</w:t>
                  </w:r>
                  <w:r>
                    <w:rPr>
                      <w:rFonts w:hint="default" w:ascii="Times New Roman" w:hAnsi="Times New Roman" w:cs="Times New Roman"/>
                      <w:sz w:val="21"/>
                      <w:szCs w:val="21"/>
                    </w:rPr>
                    <w:t>工序会产生少量异味（以臭气浓度计），</w:t>
                  </w:r>
                  <w:r>
                    <w:rPr>
                      <w:rFonts w:hint="default" w:ascii="Times New Roman" w:hAnsi="Times New Roman" w:cs="Times New Roman"/>
                      <w:sz w:val="21"/>
                      <w:szCs w:val="21"/>
                      <w:lang w:eastAsia="zh-CN"/>
                    </w:rPr>
                    <w:t>蒸煮</w:t>
                  </w:r>
                  <w:r>
                    <w:rPr>
                      <w:rFonts w:hint="default" w:ascii="Times New Roman" w:hAnsi="Times New Roman" w:cs="Times New Roman"/>
                      <w:sz w:val="21"/>
                      <w:szCs w:val="21"/>
                    </w:rPr>
                    <w:t>工序产生异味在生产车间内散溢，</w:t>
                  </w:r>
                  <w:r>
                    <w:rPr>
                      <w:rFonts w:hint="default" w:ascii="Times New Roman" w:hAnsi="Times New Roman" w:cs="Times New Roman"/>
                      <w:bCs/>
                      <w:sz w:val="21"/>
                      <w:szCs w:val="21"/>
                    </w:rPr>
                    <w:t>加强车间通风，</w:t>
                  </w:r>
                  <w:r>
                    <w:rPr>
                      <w:rFonts w:hint="default" w:ascii="Times New Roman" w:hAnsi="Times New Roman" w:cs="Times New Roman"/>
                      <w:sz w:val="21"/>
                      <w:szCs w:val="21"/>
                      <w:lang w:eastAsia="zh-CN"/>
                    </w:rPr>
                    <w:t>蒸煮</w:t>
                  </w:r>
                  <w:r>
                    <w:rPr>
                      <w:rFonts w:hint="default" w:ascii="Times New Roman" w:hAnsi="Times New Roman" w:cs="Times New Roman"/>
                      <w:sz w:val="21"/>
                      <w:szCs w:val="21"/>
                    </w:rPr>
                    <w:t>工序</w:t>
                  </w:r>
                  <w:r>
                    <w:rPr>
                      <w:rFonts w:hint="default" w:ascii="Times New Roman" w:hAnsi="Times New Roman" w:cs="Times New Roman"/>
                      <w:bCs/>
                      <w:sz w:val="21"/>
                      <w:szCs w:val="21"/>
                    </w:rPr>
                    <w:t>异味对外环境影响较小。厂界臭气浓度能</w:t>
                  </w:r>
                  <w:r>
                    <w:rPr>
                      <w:rFonts w:hint="default" w:ascii="Times New Roman" w:hAnsi="Times New Roman" w:cs="Times New Roman"/>
                      <w:sz w:val="21"/>
                      <w:szCs w:val="21"/>
                    </w:rPr>
                    <w:t>够满足《恶臭污染物排放标准》（GB14554-93）表2中臭气浓度20 (无量纲)标准限值。</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green"/>
                    </w:rPr>
                  </w:pPr>
                </w:p>
              </w:tc>
              <w:tc>
                <w:tcPr>
                  <w:tcW w:w="3223" w:type="pct"/>
                  <w:tcBorders>
                    <w:tl2br w:val="nil"/>
                    <w:tr2bl w:val="nil"/>
                  </w:tcBorders>
                  <w:vAlign w:val="center"/>
                </w:tcPr>
                <w:p>
                  <w:pPr>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sz w:val="21"/>
                      <w:szCs w:val="21"/>
                    </w:rPr>
                    <w:t>食堂安装油烟净化器进行净化，净化效率</w:t>
                  </w:r>
                  <w:r>
                    <w:rPr>
                      <w:rFonts w:hint="default" w:ascii="Times New Roman" w:hAnsi="Times New Roman" w:cs="Times New Roman"/>
                      <w:sz w:val="21"/>
                      <w:szCs w:val="21"/>
                      <w:lang w:val="en-US" w:eastAsia="zh-CN"/>
                    </w:rPr>
                    <w:t>75</w:t>
                  </w:r>
                  <w:r>
                    <w:rPr>
                      <w:rFonts w:hint="default" w:ascii="Times New Roman" w:hAnsi="Times New Roman" w:cs="Times New Roman"/>
                      <w:sz w:val="21"/>
                      <w:szCs w:val="21"/>
                    </w:rPr>
                    <w:t>%，油烟废气经油烟净化器处理后达标排放。</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拟</w:t>
                  </w:r>
                  <w:r>
                    <w:rPr>
                      <w:rFonts w:hint="default" w:ascii="Times New Roman" w:hAnsi="Times New Roman" w:eastAsia="宋体" w:cs="Times New Roman"/>
                      <w:color w:val="auto"/>
                      <w:sz w:val="21"/>
                      <w:szCs w:val="21"/>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3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eastAsia="zh-CN"/>
                    </w:rPr>
                    <w:t>锅炉排污水及软化处理废水用于锅炉房、灰渣间、厂区洒水降尘，不外排；</w:t>
                  </w:r>
                  <w:r>
                    <w:rPr>
                      <w:rFonts w:hint="default" w:ascii="Times New Roman" w:hAnsi="Times New Roman" w:cs="Times New Roman"/>
                      <w:color w:val="auto"/>
                      <w:sz w:val="21"/>
                      <w:szCs w:val="21"/>
                      <w:highlight w:val="none"/>
                      <w:lang w:val="en-US" w:eastAsia="zh-CN"/>
                    </w:rPr>
                    <w:t>生活污水进入厂区内防渗旱厕，</w:t>
                  </w:r>
                  <w:r>
                    <w:rPr>
                      <w:rFonts w:hint="default" w:ascii="Times New Roman" w:hAnsi="Times New Roman" w:cs="Times New Roman"/>
                      <w:color w:val="auto"/>
                      <w:sz w:val="21"/>
                      <w:szCs w:val="21"/>
                      <w:highlight w:val="none"/>
                    </w:rPr>
                    <w:t>定期清掏，外运堆肥。清洗</w:t>
                  </w:r>
                  <w:r>
                    <w:rPr>
                      <w:rFonts w:hint="default"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eastAsia="zh-CN"/>
                    </w:rPr>
                    <w:t>水</w:t>
                  </w:r>
                  <w:r>
                    <w:rPr>
                      <w:rFonts w:hint="default" w:ascii="Times New Roman" w:hAnsi="Times New Roman" w:cs="Times New Roman"/>
                      <w:color w:val="auto"/>
                      <w:sz w:val="21"/>
                      <w:szCs w:val="21"/>
                      <w:highlight w:val="none"/>
                    </w:rPr>
                    <w:t>、车间地面冲洗废水暂存于30m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的密闭储罐内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每天由专用罐车拉运至</w:t>
                  </w:r>
                  <w:r>
                    <w:rPr>
                      <w:rFonts w:hint="eastAsia" w:cs="Times New Roman"/>
                      <w:color w:val="auto"/>
                      <w:sz w:val="21"/>
                      <w:szCs w:val="21"/>
                      <w:highlight w:val="none"/>
                      <w:lang w:eastAsia="zh-CN"/>
                    </w:rPr>
                    <w:t>五常市民泉污水处理有限公司</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bCs/>
                      <w:color w:val="auto"/>
                      <w:kern w:val="0"/>
                      <w:sz w:val="21"/>
                      <w:szCs w:val="21"/>
                      <w:highlight w:val="none"/>
                    </w:rPr>
                    <w:t>日产日清</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3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采取厂房隔声、设备</w:t>
                  </w:r>
                  <w:r>
                    <w:rPr>
                      <w:rFonts w:hint="default" w:ascii="Times New Roman" w:hAnsi="Times New Roman" w:eastAsia="宋体" w:cs="Times New Roman"/>
                      <w:color w:val="auto"/>
                      <w:sz w:val="21"/>
                      <w:szCs w:val="21"/>
                      <w:highlight w:val="none"/>
                    </w:rPr>
                    <w:t>安装基础减振</w:t>
                  </w:r>
                  <w:r>
                    <w:rPr>
                      <w:rFonts w:hint="default" w:ascii="Times New Roman" w:hAnsi="Times New Roman"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rPr>
                    <w:t>措施，</w:t>
                  </w:r>
                  <w:r>
                    <w:rPr>
                      <w:rFonts w:hint="default" w:ascii="Times New Roman" w:hAnsi="Times New Roman" w:eastAsia="宋体" w:cs="Times New Roman"/>
                      <w:color w:val="auto"/>
                      <w:sz w:val="21"/>
                      <w:szCs w:val="21"/>
                      <w:highlight w:val="none"/>
                      <w:lang w:eastAsia="zh-CN"/>
                    </w:rPr>
                    <w:t>厂界噪声满足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2类标准要求</w:t>
                  </w:r>
                  <w:r>
                    <w:rPr>
                      <w:rFonts w:hint="default" w:ascii="Times New Roman" w:hAnsi="Times New Roman" w:eastAsia="宋体" w:cs="Times New Roman"/>
                      <w:color w:val="auto"/>
                      <w:sz w:val="21"/>
                      <w:szCs w:val="21"/>
                      <w:highlight w:val="none"/>
                    </w:rPr>
                    <w:t>。</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rPr>
                  </w:pPr>
                </w:p>
              </w:tc>
              <w:tc>
                <w:tcPr>
                  <w:tcW w:w="7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32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bCs/>
                      <w:color w:val="auto"/>
                      <w:kern w:val="0"/>
                      <w:sz w:val="21"/>
                      <w:szCs w:val="21"/>
                      <w:highlight w:val="none"/>
                    </w:rPr>
                    <w:t>生活垃圾由环卫部门统一处理；废纸箱及废包装袋集中收集外售综合利用；玉米叶、玉米须、不合格的果穗、青穗以及废弃玉米段集中收集，外售用作饲料；锅炉灰渣与布袋除尘器收尘集中收集于灰渣</w:t>
                  </w:r>
                  <w:r>
                    <w:rPr>
                      <w:rFonts w:hint="default" w:ascii="Times New Roman" w:hAnsi="Times New Roman" w:cs="Times New Roman"/>
                      <w:bCs/>
                      <w:color w:val="auto"/>
                      <w:kern w:val="0"/>
                      <w:sz w:val="21"/>
                      <w:szCs w:val="21"/>
                      <w:highlight w:val="none"/>
                      <w:lang w:eastAsia="zh-CN"/>
                    </w:rPr>
                    <w:t>间</w:t>
                  </w:r>
                  <w:r>
                    <w:rPr>
                      <w:rFonts w:hint="default" w:ascii="Times New Roman" w:hAnsi="Times New Roman" w:cs="Times New Roman"/>
                      <w:bCs/>
                      <w:color w:val="auto"/>
                      <w:kern w:val="0"/>
                      <w:sz w:val="21"/>
                      <w:szCs w:val="21"/>
                      <w:highlight w:val="none"/>
                    </w:rPr>
                    <w:t>，外售综合利用；</w:t>
                  </w:r>
                  <w:r>
                    <w:rPr>
                      <w:rFonts w:hint="default" w:ascii="Times New Roman" w:hAnsi="Times New Roman" w:cs="Times New Roman"/>
                      <w:color w:val="auto"/>
                      <w:sz w:val="21"/>
                      <w:szCs w:val="21"/>
                      <w:highlight w:val="none"/>
                      <w:lang w:eastAsia="zh-CN"/>
                    </w:rPr>
                    <w:t>除尘器废布袋、</w:t>
                  </w:r>
                  <w:r>
                    <w:rPr>
                      <w:rFonts w:hint="default" w:ascii="Times New Roman" w:hAnsi="Times New Roman" w:cs="Times New Roman"/>
                      <w:bCs/>
                      <w:color w:val="auto"/>
                      <w:kern w:val="0"/>
                      <w:sz w:val="21"/>
                      <w:szCs w:val="21"/>
                      <w:highlight w:val="none"/>
                    </w:rPr>
                    <w:t>废离子交换树脂由厂家回收再利用。</w:t>
                  </w:r>
                </w:p>
              </w:tc>
              <w:tc>
                <w:tcPr>
                  <w:tcW w:w="4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lang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1"/>
                      <w:szCs w:val="21"/>
                      <w:lang w:eastAsia="zh-CN"/>
                    </w:rPr>
                  </w:pPr>
                  <w:bookmarkStart w:id="11" w:name="_Hlk84352653"/>
                  <w:r>
                    <w:rPr>
                      <w:rFonts w:hint="default" w:ascii="Times New Roman" w:hAnsi="Times New Roman" w:cs="Times New Roman"/>
                      <w:color w:val="auto"/>
                      <w:sz w:val="21"/>
                      <w:szCs w:val="21"/>
                      <w:lang w:eastAsia="zh-CN"/>
                    </w:rPr>
                    <w:t>依托工程</w:t>
                  </w:r>
                </w:p>
              </w:tc>
              <w:tc>
                <w:tcPr>
                  <w:tcW w:w="742"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五常市民泉污水处理有限公司</w:t>
                  </w:r>
                </w:p>
              </w:tc>
              <w:tc>
                <w:tcPr>
                  <w:tcW w:w="3223" w:type="pct"/>
                  <w:tcBorders>
                    <w:tl2br w:val="nil"/>
                    <w:tr2bl w:val="nil"/>
                  </w:tcBorders>
                  <w:vAlign w:val="center"/>
                </w:tcPr>
                <w:p>
                  <w:pP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五常市民泉污水处理有限公司</w:t>
                  </w:r>
                  <w:r>
                    <w:rPr>
                      <w:rFonts w:hint="default" w:ascii="Times New Roman" w:hAnsi="Times New Roman" w:cs="Times New Roman"/>
                      <w:color w:val="auto"/>
                      <w:sz w:val="21"/>
                      <w:szCs w:val="21"/>
                    </w:rPr>
                    <w:t>位于</w:t>
                  </w:r>
                  <w:r>
                    <w:rPr>
                      <w:rFonts w:hint="eastAsia" w:cs="Times New Roman"/>
                      <w:color w:val="auto"/>
                      <w:sz w:val="21"/>
                      <w:szCs w:val="21"/>
                      <w:lang w:eastAsia="zh-CN"/>
                    </w:rPr>
                    <w:t>五常市山河镇平安村（北纬44.7518°，东经127.2172°）</w:t>
                  </w:r>
                  <w:r>
                    <w:rPr>
                      <w:rFonts w:hint="default" w:ascii="Times New Roman" w:hAnsi="Times New Roman" w:cs="Times New Roman"/>
                      <w:color w:val="auto"/>
                      <w:sz w:val="21"/>
                      <w:szCs w:val="21"/>
                    </w:rPr>
                    <w:t>，设计处理能力为</w:t>
                  </w:r>
                  <w:r>
                    <w:rPr>
                      <w:rFonts w:hint="eastAsia" w:cs="Times New Roman"/>
                      <w:color w:val="auto"/>
                      <w:sz w:val="21"/>
                      <w:szCs w:val="21"/>
                      <w:lang w:val="en-US" w:eastAsia="zh-CN"/>
                    </w:rPr>
                    <w:t>1</w:t>
                  </w:r>
                  <w:r>
                    <w:rPr>
                      <w:rFonts w:hint="default" w:ascii="Times New Roman" w:hAnsi="Times New Roman" w:cs="Times New Roman"/>
                      <w:color w:val="auto"/>
                      <w:sz w:val="21"/>
                      <w:szCs w:val="21"/>
                    </w:rPr>
                    <w:t>万m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eastAsia="zh-CN"/>
                    </w:rPr>
                    <w:t>五常市民泉污水处理有限公司</w:t>
                  </w:r>
                  <w:r>
                    <w:rPr>
                      <w:rFonts w:hint="default" w:ascii="Times New Roman" w:hAnsi="Times New Roman" w:cs="Times New Roman"/>
                      <w:color w:val="auto"/>
                      <w:sz w:val="21"/>
                      <w:szCs w:val="21"/>
                    </w:rPr>
                    <w:t>采用</w:t>
                  </w:r>
                  <w:r>
                    <w:rPr>
                      <w:rFonts w:hint="eastAsia" w:cs="Times New Roman"/>
                      <w:color w:val="auto"/>
                      <w:sz w:val="21"/>
                      <w:szCs w:val="21"/>
                      <w:lang w:eastAsia="zh-CN"/>
                    </w:rPr>
                    <w:t>“格栅+EBIS生化池+沉淀过滤+消毒”</w:t>
                  </w:r>
                  <w:r>
                    <w:rPr>
                      <w:rFonts w:hint="default" w:ascii="Times New Roman" w:hAnsi="Times New Roman" w:cs="Times New Roman"/>
                      <w:color w:val="auto"/>
                      <w:sz w:val="21"/>
                      <w:szCs w:val="21"/>
                    </w:rPr>
                    <w:t>工艺，经处理后污水满足《城镇污水处理厂污染物排放标准》（GB18918-2002）</w:t>
                  </w:r>
                  <w:r>
                    <w:rPr>
                      <w:rFonts w:hint="default" w:ascii="Times New Roman" w:hAnsi="Times New Roman" w:cs="Times New Roman"/>
                      <w:color w:val="auto"/>
                      <w:sz w:val="21"/>
                      <w:szCs w:val="21"/>
                      <w:lang w:eastAsia="zh-CN"/>
                    </w:rPr>
                    <w:t>一级A</w:t>
                  </w:r>
                  <w:r>
                    <w:rPr>
                      <w:rFonts w:hint="default" w:ascii="Times New Roman" w:hAnsi="Times New Roman" w:cs="Times New Roman"/>
                      <w:color w:val="auto"/>
                      <w:sz w:val="21"/>
                      <w:szCs w:val="21"/>
                    </w:rPr>
                    <w:t>标准后排入</w:t>
                  </w:r>
                  <w:r>
                    <w:rPr>
                      <w:rFonts w:hint="eastAsia" w:cs="Times New Roman"/>
                      <w:color w:val="auto"/>
                      <w:sz w:val="21"/>
                      <w:szCs w:val="21"/>
                      <w:lang w:eastAsia="zh-CN"/>
                    </w:rPr>
                    <w:t>拉林河</w:t>
                  </w:r>
                  <w:r>
                    <w:rPr>
                      <w:rFonts w:hint="default" w:ascii="Times New Roman" w:hAnsi="Times New Roman" w:cs="Times New Roman"/>
                      <w:color w:val="auto"/>
                      <w:sz w:val="21"/>
                      <w:szCs w:val="21"/>
                    </w:rPr>
                    <w:t>。</w:t>
                  </w:r>
                </w:p>
              </w:tc>
              <w:tc>
                <w:tcPr>
                  <w:tcW w:w="478"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依托</w:t>
                  </w:r>
                </w:p>
              </w:tc>
            </w:tr>
            <w:bookmarkEnd w:id="10"/>
          </w:tbl>
          <w:p>
            <w:pPr>
              <w:adjustRightInd w:val="0"/>
              <w:snapToGrid w:val="0"/>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、主要原辅材料</w:t>
            </w:r>
          </w:p>
          <w:p>
            <w:pPr>
              <w:adjustRightInd w:val="0"/>
              <w:snapToGrid w:val="0"/>
              <w:spacing w:line="360" w:lineRule="auto"/>
              <w:ind w:firstLine="480" w:firstLineChars="200"/>
              <w:rPr>
                <w:rFonts w:hint="default" w:ascii="Times New Roman" w:hAnsi="Times New Roman" w:eastAsia="宋体" w:cs="Times New Roman"/>
                <w:b w:val="0"/>
                <w:bCs/>
                <w:snapToGrid w:val="0"/>
                <w:color w:val="auto"/>
                <w:kern w:val="0"/>
                <w:sz w:val="24"/>
              </w:rPr>
            </w:pPr>
            <w:bookmarkStart w:id="12" w:name="_Hlk84530690"/>
            <w:r>
              <w:rPr>
                <w:rFonts w:hint="default" w:ascii="Times New Roman" w:hAnsi="Times New Roman" w:eastAsia="宋体" w:cs="Times New Roman"/>
                <w:b w:val="0"/>
                <w:bCs/>
                <w:color w:val="auto"/>
                <w:sz w:val="24"/>
              </w:rPr>
              <w:t>本项目主要原辅材料一览表详见表2-2</w:t>
            </w:r>
            <w:r>
              <w:rPr>
                <w:rFonts w:hint="default" w:ascii="Times New Roman" w:hAnsi="Times New Roman" w:eastAsia="宋体" w:cs="Times New Roman"/>
                <w:b w:val="0"/>
                <w:bCs/>
                <w:snapToGrid w:val="0"/>
                <w:color w:val="auto"/>
                <w:kern w:val="0"/>
                <w:sz w:val="24"/>
              </w:rPr>
              <w:t>，煤质分析报告</w:t>
            </w:r>
            <w:r>
              <w:rPr>
                <w:rFonts w:hint="default" w:ascii="Times New Roman" w:hAnsi="Times New Roman" w:eastAsia="宋体" w:cs="Times New Roman"/>
                <w:b w:val="0"/>
                <w:bCs/>
                <w:snapToGrid w:val="0"/>
                <w:color w:val="auto"/>
                <w:kern w:val="0"/>
                <w:sz w:val="24"/>
                <w:shd w:val="clear"/>
              </w:rPr>
              <w:t>见附件2。</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表2-2本项目主要原辅材料一览表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914"/>
              <w:gridCol w:w="1767"/>
              <w:gridCol w:w="1960"/>
              <w:gridCol w:w="911"/>
              <w:gridCol w:w="1261"/>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 w:hRule="atLeast"/>
                <w:jc w:val="center"/>
              </w:trPr>
              <w:tc>
                <w:tcPr>
                  <w:tcW w:w="545" w:type="pct"/>
                  <w:tcBorders>
                    <w:tl2br w:val="nil"/>
                    <w:tr2bl w:val="nil"/>
                  </w:tcBorders>
                  <w:vAlign w:val="center"/>
                </w:tcPr>
                <w:p>
                  <w:pPr>
                    <w:adjustRightInd w:val="0"/>
                    <w:snapToGrid w:val="0"/>
                    <w:jc w:val="center"/>
                    <w:rPr>
                      <w:rFonts w:hint="default" w:ascii="Times New Roman" w:hAnsi="Times New Roman" w:eastAsia="宋体" w:cs="Times New Roman"/>
                      <w:bCs/>
                      <w:snapToGrid w:val="0"/>
                      <w:color w:val="auto"/>
                      <w:sz w:val="21"/>
                      <w:szCs w:val="21"/>
                    </w:rPr>
                  </w:pPr>
                  <w:r>
                    <w:rPr>
                      <w:rFonts w:hint="default" w:ascii="Times New Roman" w:hAnsi="Times New Roman" w:eastAsia="宋体" w:cs="Times New Roman"/>
                      <w:bCs/>
                      <w:snapToGrid w:val="0"/>
                      <w:color w:val="auto"/>
                      <w:sz w:val="21"/>
                      <w:szCs w:val="21"/>
                    </w:rPr>
                    <w:t>序号</w:t>
                  </w:r>
                </w:p>
              </w:tc>
              <w:tc>
                <w:tcPr>
                  <w:tcW w:w="1054" w:type="pct"/>
                  <w:tcBorders>
                    <w:tl2br w:val="nil"/>
                    <w:tr2bl w:val="nil"/>
                  </w:tcBorders>
                  <w:vAlign w:val="center"/>
                </w:tcPr>
                <w:p>
                  <w:pPr>
                    <w:adjustRightInd w:val="0"/>
                    <w:snapToGrid w:val="0"/>
                    <w:jc w:val="center"/>
                    <w:rPr>
                      <w:rFonts w:hint="default" w:ascii="Times New Roman" w:hAnsi="Times New Roman" w:eastAsia="宋体" w:cs="Times New Roman"/>
                      <w:bCs/>
                      <w:snapToGrid w:val="0"/>
                      <w:color w:val="auto"/>
                      <w:sz w:val="21"/>
                      <w:szCs w:val="21"/>
                      <w:lang w:eastAsia="zh-CN"/>
                    </w:rPr>
                  </w:pPr>
                  <w:r>
                    <w:rPr>
                      <w:rFonts w:hint="default" w:ascii="Times New Roman" w:hAnsi="Times New Roman" w:cs="Times New Roman"/>
                      <w:color w:val="auto"/>
                      <w:sz w:val="21"/>
                      <w:szCs w:val="21"/>
                    </w:rPr>
                    <w:t>类别</w:t>
                  </w:r>
                </w:p>
              </w:tc>
              <w:tc>
                <w:tcPr>
                  <w:tcW w:w="1169" w:type="pct"/>
                  <w:tcBorders>
                    <w:tl2br w:val="nil"/>
                    <w:tr2bl w:val="nil"/>
                  </w:tcBorders>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名称</w:t>
                  </w:r>
                </w:p>
              </w:tc>
              <w:tc>
                <w:tcPr>
                  <w:tcW w:w="543" w:type="pct"/>
                  <w:tcBorders>
                    <w:tl2br w:val="nil"/>
                    <w:tr2bl w:val="nil"/>
                  </w:tcBorders>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单位</w:t>
                  </w:r>
                </w:p>
              </w:tc>
              <w:tc>
                <w:tcPr>
                  <w:tcW w:w="752" w:type="pct"/>
                  <w:tcBorders>
                    <w:tl2br w:val="nil"/>
                    <w:tr2bl w:val="nil"/>
                  </w:tcBorders>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年用量</w:t>
                  </w:r>
                </w:p>
              </w:tc>
              <w:tc>
                <w:tcPr>
                  <w:tcW w:w="933" w:type="pct"/>
                  <w:tcBorders>
                    <w:tl2br w:val="nil"/>
                    <w:tr2bl w:val="nil"/>
                  </w:tcBorders>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 w:hRule="atLeast"/>
                <w:jc w:val="center"/>
              </w:trPr>
              <w:tc>
                <w:tcPr>
                  <w:tcW w:w="54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54"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鲜食玉米生产线</w:t>
                  </w:r>
                </w:p>
              </w:tc>
              <w:tc>
                <w:tcPr>
                  <w:tcW w:w="1169"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鲜玉米</w:t>
                  </w:r>
                </w:p>
              </w:tc>
              <w:tc>
                <w:tcPr>
                  <w:tcW w:w="543"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万穗</w:t>
                  </w:r>
                </w:p>
              </w:tc>
              <w:tc>
                <w:tcPr>
                  <w:tcW w:w="752"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kern w:val="0"/>
                      <w:sz w:val="21"/>
                      <w:szCs w:val="21"/>
                      <w:lang w:val="en-US" w:eastAsia="zh-CN"/>
                    </w:rPr>
                    <w:t>2250</w:t>
                  </w:r>
                </w:p>
              </w:tc>
              <w:tc>
                <w:tcPr>
                  <w:tcW w:w="93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lang w:val="en-US" w:eastAsia="zh-CN"/>
                    </w:rPr>
                    <w:t>4500t/a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 w:hRule="atLeast"/>
                <w:jc w:val="center"/>
              </w:trPr>
              <w:tc>
                <w:tcPr>
                  <w:tcW w:w="545"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54" w:type="pct"/>
                  <w:vMerge w:val="restar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包装</w:t>
                  </w:r>
                </w:p>
              </w:tc>
              <w:tc>
                <w:tcPr>
                  <w:tcW w:w="1169"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rPr>
                    <w:t>玉米棒包装袋</w:t>
                  </w:r>
                </w:p>
              </w:tc>
              <w:tc>
                <w:tcPr>
                  <w:tcW w:w="543"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75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933"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lang w:val="en-US" w:eastAsia="zh-CN"/>
                    </w:rPr>
                    <w:t>4000t/a，1</w:t>
                  </w:r>
                  <w:r>
                    <w:rPr>
                      <w:rFonts w:hint="default" w:ascii="Times New Roman" w:hAnsi="Times New Roman" w:cs="Times New Roman"/>
                      <w:color w:val="auto"/>
                      <w:kern w:val="0"/>
                      <w:sz w:val="21"/>
                      <w:szCs w:val="21"/>
                    </w:rPr>
                    <w:t>穗/袋</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 w:hRule="atLeast"/>
                <w:jc w:val="center"/>
              </w:trPr>
              <w:tc>
                <w:tcPr>
                  <w:tcW w:w="545"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054" w:type="pct"/>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rPr>
                  </w:pPr>
                </w:p>
              </w:tc>
              <w:tc>
                <w:tcPr>
                  <w:tcW w:w="1169"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rPr>
                    <w:t>玉米棒包装纸箱</w:t>
                  </w:r>
                </w:p>
              </w:tc>
              <w:tc>
                <w:tcPr>
                  <w:tcW w:w="543" w:type="pct"/>
                  <w:tcBorders>
                    <w:tl2br w:val="nil"/>
                    <w:tr2bl w:val="nil"/>
                  </w:tcBorders>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万</w:t>
                  </w:r>
                  <w:r>
                    <w:rPr>
                      <w:rFonts w:hint="default" w:ascii="Times New Roman" w:hAnsi="Times New Roman" w:cs="Times New Roman"/>
                      <w:color w:val="auto"/>
                      <w:sz w:val="21"/>
                      <w:szCs w:val="21"/>
                      <w:lang w:val="en-US" w:eastAsia="zh-CN"/>
                    </w:rPr>
                    <w:t>个</w:t>
                  </w:r>
                </w:p>
              </w:tc>
              <w:tc>
                <w:tcPr>
                  <w:tcW w:w="752"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r>
                    <w:rPr>
                      <w:rFonts w:hint="default" w:ascii="Times New Roman" w:hAnsi="Times New Roman" w:cs="Times New Roman"/>
                      <w:color w:val="auto"/>
                      <w:sz w:val="21"/>
                      <w:szCs w:val="21"/>
                      <w:lang w:val="en-US" w:eastAsia="zh-CN"/>
                    </w:rPr>
                    <w:t>0</w:t>
                  </w:r>
                </w:p>
              </w:tc>
              <w:tc>
                <w:tcPr>
                  <w:tcW w:w="933" w:type="pct"/>
                  <w:tcBorders>
                    <w:tl2br w:val="nil"/>
                    <w:tr2bl w:val="nil"/>
                  </w:tcBorders>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0" w:hRule="atLeast"/>
                <w:jc w:val="center"/>
              </w:trPr>
              <w:tc>
                <w:tcPr>
                  <w:tcW w:w="545"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54" w:type="pct"/>
                  <w:tcBorders>
                    <w:tl2br w:val="nil"/>
                    <w:tr2bl w:val="nil"/>
                  </w:tcBorders>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eastAsia="zh-CN"/>
                    </w:rPr>
                    <w:t>燃料</w:t>
                  </w:r>
                  <w:r>
                    <w:rPr>
                      <w:rFonts w:hint="default" w:ascii="Times New Roman" w:hAnsi="Times New Roman" w:cs="Times New Roman"/>
                      <w:color w:val="auto"/>
                      <w:sz w:val="21"/>
                      <w:szCs w:val="21"/>
                    </w:rPr>
                    <w:t>消耗</w:t>
                  </w:r>
                </w:p>
              </w:tc>
              <w:tc>
                <w:tcPr>
                  <w:tcW w:w="1169"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eastAsia="zh-CN"/>
                    </w:rPr>
                    <w:t>鲜食玉米生产线生物质颗粒</w:t>
                  </w:r>
                </w:p>
              </w:tc>
              <w:tc>
                <w:tcPr>
                  <w:tcW w:w="543" w:type="pct"/>
                  <w:tcBorders>
                    <w:tl2br w:val="nil"/>
                    <w:tr2bl w:val="nil"/>
                  </w:tcBorders>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t/a</w:t>
                  </w:r>
                </w:p>
              </w:tc>
              <w:tc>
                <w:tcPr>
                  <w:tcW w:w="752"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1665</w:t>
                  </w:r>
                </w:p>
              </w:tc>
              <w:tc>
                <w:tcPr>
                  <w:tcW w:w="933"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外购</w:t>
                  </w:r>
                </w:p>
              </w:tc>
            </w:tr>
            <w:bookmarkEnd w:id="12"/>
          </w:tbl>
          <w:p>
            <w:pPr>
              <w:keepNext w:val="0"/>
              <w:keepLines w:val="0"/>
              <w:pageBreakBefore w:val="0"/>
              <w:kinsoku/>
              <w:wordWrap/>
              <w:overflowPunct/>
              <w:topLinePunct w:val="0"/>
              <w:bidi w:val="0"/>
              <w:spacing w:line="360" w:lineRule="auto"/>
              <w:ind w:firstLine="48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生产鲜食玉米过程生物质燃料用量</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cs="Times New Roman"/>
                <w:b w:val="0"/>
                <w:bCs w:val="0"/>
                <w:color w:val="auto"/>
                <w:sz w:val="24"/>
                <w:szCs w:val="24"/>
                <w:highlight w:val="none"/>
                <w:lang w:val="en-US" w:eastAsia="zh-CN"/>
              </w:rPr>
              <w:t>鲜食</w:t>
            </w:r>
            <w:r>
              <w:rPr>
                <w:rFonts w:hint="default" w:ascii="Times New Roman" w:hAnsi="Times New Roman" w:eastAsia="宋体" w:cs="Times New Roman"/>
                <w:b w:val="0"/>
                <w:bCs w:val="0"/>
                <w:color w:val="auto"/>
                <w:sz w:val="24"/>
                <w:highlight w:val="none"/>
                <w:lang w:val="en-US" w:eastAsia="zh-CN"/>
              </w:rPr>
              <w:t>玉米蒸制采用</w:t>
            </w:r>
            <w:r>
              <w:rPr>
                <w:rFonts w:hint="eastAsia" w:cs="Times New Roman"/>
                <w:b w:val="0"/>
                <w:bCs w:val="0"/>
                <w:color w:val="auto"/>
                <w:sz w:val="24"/>
                <w:highlight w:val="none"/>
                <w:lang w:val="en-US" w:eastAsia="zh-CN"/>
              </w:rPr>
              <w:t>2台</w:t>
            </w:r>
            <w:r>
              <w:rPr>
                <w:rFonts w:hint="default" w:ascii="Times New Roman" w:hAnsi="Times New Roman" w:cs="Times New Roman"/>
                <w:b w:val="0"/>
                <w:bCs w:val="0"/>
                <w:color w:val="auto"/>
                <w:sz w:val="24"/>
                <w:highlight w:val="none"/>
                <w:lang w:val="en-US" w:eastAsia="zh-CN"/>
              </w:rPr>
              <w:t>燃生物质蒸汽锅炉</w:t>
            </w:r>
            <w:r>
              <w:rPr>
                <w:rFonts w:hint="default" w:ascii="Times New Roman" w:hAnsi="Times New Roman" w:eastAsia="宋体" w:cs="Times New Roman"/>
                <w:b w:val="0"/>
                <w:bCs w:val="0"/>
                <w:color w:val="auto"/>
                <w:sz w:val="24"/>
                <w:highlight w:val="none"/>
                <w:lang w:val="en-US" w:eastAsia="zh-CN"/>
              </w:rPr>
              <w:t>提供蒸汽</w:t>
            </w:r>
            <w:r>
              <w:rPr>
                <w:rFonts w:hint="eastAsia" w:cs="Times New Roman"/>
                <w:b w:val="0"/>
                <w:bCs w:val="0"/>
                <w:color w:val="auto"/>
                <w:sz w:val="24"/>
                <w:highlight w:val="none"/>
                <w:lang w:val="en-US" w:eastAsia="zh-CN"/>
              </w:rPr>
              <w:t>（分别为4t/h</w:t>
            </w:r>
            <w:r>
              <w:rPr>
                <w:rFonts w:hint="default" w:ascii="Times New Roman" w:hAnsi="Times New Roman" w:cs="Times New Roman"/>
                <w:b w:val="0"/>
                <w:bCs w:val="0"/>
                <w:color w:val="auto"/>
                <w:sz w:val="24"/>
                <w:highlight w:val="none"/>
                <w:lang w:val="en-US" w:eastAsia="zh-CN"/>
              </w:rPr>
              <w:t>生物质蒸汽锅炉</w:t>
            </w:r>
            <w:r>
              <w:rPr>
                <w:rFonts w:hint="eastAsia" w:cs="Times New Roman"/>
                <w:b w:val="0"/>
                <w:bCs w:val="0"/>
                <w:color w:val="auto"/>
                <w:sz w:val="24"/>
                <w:highlight w:val="none"/>
                <w:lang w:val="en-US" w:eastAsia="zh-CN"/>
              </w:rPr>
              <w:t>和6t/h</w:t>
            </w:r>
            <w:r>
              <w:rPr>
                <w:rFonts w:hint="default" w:ascii="Times New Roman" w:hAnsi="Times New Roman" w:cs="Times New Roman"/>
                <w:b w:val="0"/>
                <w:bCs w:val="0"/>
                <w:color w:val="auto"/>
                <w:sz w:val="24"/>
                <w:highlight w:val="none"/>
                <w:lang w:val="en-US" w:eastAsia="zh-CN"/>
              </w:rPr>
              <w:t>生物质蒸汽锅炉</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，根据企业提供资料。蒸制工序所需蒸汽量为</w:t>
            </w:r>
            <w:r>
              <w:rPr>
                <w:rFonts w:hint="eastAsia" w:cs="Times New Roman"/>
                <w:b w:val="0"/>
                <w:bCs w:val="0"/>
                <w:color w:val="auto"/>
                <w:sz w:val="24"/>
                <w:highlight w:val="none"/>
                <w:lang w:val="en-US" w:eastAsia="zh-CN"/>
              </w:rPr>
              <w:t>10t/h</w:t>
            </w:r>
            <w:r>
              <w:rPr>
                <w:rFonts w:hint="default" w:ascii="Times New Roman" w:hAnsi="Times New Roman" w:eastAsia="宋体" w:cs="Times New Roman"/>
                <w:b w:val="0"/>
                <w:bCs w:val="0"/>
                <w:color w:val="auto"/>
                <w:sz w:val="24"/>
                <w:highlight w:val="none"/>
                <w:lang w:val="en-US" w:eastAsia="zh-CN"/>
              </w:rPr>
              <w:t>，本项目年运行</w:t>
            </w:r>
            <w:r>
              <w:rPr>
                <w:rFonts w:hint="default" w:ascii="Times New Roman" w:hAnsi="Times New Roman" w:cs="Times New Roman"/>
                <w:b w:val="0"/>
                <w:bCs w:val="0"/>
                <w:color w:val="auto"/>
                <w:sz w:val="24"/>
                <w:highlight w:val="none"/>
                <w:lang w:val="en-US" w:eastAsia="zh-CN"/>
              </w:rPr>
              <w:t>60</w:t>
            </w:r>
            <w:r>
              <w:rPr>
                <w:rFonts w:hint="default" w:ascii="Times New Roman" w:hAnsi="Times New Roman" w:eastAsia="宋体" w:cs="Times New Roman"/>
                <w:b w:val="0"/>
                <w:bCs w:val="0"/>
                <w:color w:val="auto"/>
                <w:sz w:val="24"/>
                <w:highlight w:val="none"/>
                <w:lang w:val="en-US" w:eastAsia="zh-CN"/>
              </w:rPr>
              <w:t>d，蒸制工序每天运行10h，则本项目年用蒸汽</w:t>
            </w:r>
            <w:r>
              <w:rPr>
                <w:rFonts w:hint="eastAsia" w:cs="Times New Roman"/>
                <w:b w:val="0"/>
                <w:bCs w:val="0"/>
                <w:color w:val="auto"/>
                <w:sz w:val="24"/>
                <w:highlight w:val="none"/>
                <w:lang w:val="en-US" w:eastAsia="zh-CN"/>
              </w:rPr>
              <w:t>60</w:t>
            </w:r>
            <w:r>
              <w:rPr>
                <w:rFonts w:hint="default" w:ascii="Times New Roman" w:hAnsi="Times New Roman" w:eastAsia="宋体" w:cs="Times New Roman"/>
                <w:b w:val="0"/>
                <w:bCs w:val="0"/>
                <w:color w:val="auto"/>
                <w:sz w:val="24"/>
                <w:highlight w:val="none"/>
                <w:lang w:val="en-US" w:eastAsia="zh-CN"/>
              </w:rPr>
              <w:t>00t，根据水的物理性质，1kg水汽化需要热量2260千焦，本项目</w:t>
            </w:r>
            <w:r>
              <w:rPr>
                <w:rFonts w:hint="default" w:ascii="Times New Roman" w:hAnsi="Times New Roman" w:eastAsia="宋体" w:cs="Times New Roman"/>
                <w:b w:val="0"/>
                <w:bCs w:val="0"/>
                <w:color w:val="auto"/>
                <w:sz w:val="24"/>
                <w:szCs w:val="24"/>
                <w:highlight w:val="none"/>
              </w:rPr>
              <w:t>生物质压块燃料热值取</w:t>
            </w:r>
            <w:r>
              <w:rPr>
                <w:rFonts w:hint="default" w:ascii="Times New Roman" w:hAnsi="Times New Roman" w:cs="Times New Roman"/>
                <w:b w:val="0"/>
                <w:bCs w:val="0"/>
                <w:color w:val="auto"/>
                <w:sz w:val="24"/>
                <w:szCs w:val="24"/>
                <w:highlight w:val="none"/>
                <w:lang w:eastAsia="zh-CN"/>
              </w:rPr>
              <w:t>9.58</w:t>
            </w:r>
            <w:r>
              <w:rPr>
                <w:rFonts w:hint="default" w:ascii="Times New Roman" w:hAnsi="Times New Roman" w:eastAsia="宋体" w:cs="Times New Roman"/>
                <w:b w:val="0"/>
                <w:bCs w:val="0"/>
                <w:color w:val="auto"/>
                <w:sz w:val="24"/>
                <w:szCs w:val="24"/>
                <w:highlight w:val="none"/>
              </w:rPr>
              <w:t>MJ/kg（见附件</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highlight w:val="none"/>
                <w:lang w:val="en-US" w:eastAsia="zh-CN"/>
              </w:rPr>
              <w:t>，锅炉热效率85%，通过热值平衡折算，生物质燃料使用量为</w:t>
            </w:r>
            <w:r>
              <w:rPr>
                <w:rFonts w:hint="default" w:ascii="Times New Roman" w:hAnsi="Times New Roman" w:cs="Times New Roman"/>
                <w:b w:val="0"/>
                <w:bCs w:val="0"/>
                <w:color w:val="auto"/>
                <w:sz w:val="24"/>
                <w:highlight w:val="none"/>
                <w:lang w:val="en-US" w:eastAsia="zh-CN"/>
              </w:rPr>
              <w:t>（</w:t>
            </w:r>
            <w:r>
              <w:rPr>
                <w:rFonts w:hint="eastAsia" w:cs="Times New Roman"/>
                <w:b w:val="0"/>
                <w:bCs w:val="0"/>
                <w:color w:val="auto"/>
                <w:sz w:val="24"/>
                <w:highlight w:val="none"/>
                <w:lang w:val="en-US" w:eastAsia="zh-CN"/>
              </w:rPr>
              <w:t>60</w:t>
            </w:r>
            <w:r>
              <w:rPr>
                <w:rFonts w:hint="default" w:ascii="Times New Roman" w:hAnsi="Times New Roman" w:cs="Times New Roman"/>
                <w:b w:val="0"/>
                <w:bCs w:val="0"/>
                <w:color w:val="auto"/>
                <w:sz w:val="24"/>
                <w:highlight w:val="none"/>
                <w:lang w:val="en-US" w:eastAsia="zh-CN"/>
              </w:rPr>
              <w:t>00t</w:t>
            </w:r>
            <w:r>
              <w:rPr>
                <w:rFonts w:hint="default" w:ascii="Times New Roman" w:hAnsi="Times New Roman" w:eastAsia="宋体" w:cs="Times New Roman"/>
                <w:b w:val="0"/>
                <w:bCs w:val="0"/>
                <w:color w:val="auto"/>
                <w:kern w:val="2"/>
                <w:sz w:val="24"/>
                <w:szCs w:val="24"/>
                <w:highlight w:val="none"/>
                <w:lang w:val="en-US" w:eastAsia="zh-CN" w:bidi="ar-SA"/>
              </w:rPr>
              <w:t>×1000×2260</w:t>
            </w:r>
            <w:r>
              <w:rPr>
                <w:rFonts w:hint="default" w:ascii="Times New Roman" w:hAnsi="Times New Roman" w:cs="Times New Roman"/>
                <w:b w:val="0"/>
                <w:bCs w:val="0"/>
                <w:color w:val="auto"/>
                <w:kern w:val="2"/>
                <w:sz w:val="24"/>
                <w:szCs w:val="24"/>
                <w:highlight w:val="none"/>
                <w:lang w:val="en-US" w:eastAsia="zh-CN" w:bidi="ar-SA"/>
              </w:rPr>
              <w:t>KJ</w:t>
            </w:r>
            <w:r>
              <w:rPr>
                <w:rFonts w:hint="default" w:ascii="Times New Roman" w:hAnsi="Times New Roman" w:cs="Times New Roman"/>
                <w:b w:val="0"/>
                <w:bCs w:val="0"/>
                <w:color w:val="auto"/>
                <w:sz w:val="24"/>
                <w:highlight w:val="none"/>
                <w:lang w:val="en-US" w:eastAsia="zh-CN"/>
              </w:rPr>
              <w:t>）</w:t>
            </w:r>
            <w:r>
              <w:rPr>
                <w:rFonts w:hint="default" w:ascii="Times New Roman" w:hAnsi="Times New Roman" w:cs="Times New Roman"/>
                <w:b w:val="0"/>
                <w:bCs w:val="0"/>
                <w:color w:val="auto"/>
                <w:kern w:val="2"/>
                <w:sz w:val="24"/>
                <w:szCs w:val="24"/>
                <w:highlight w:val="none"/>
                <w:lang w:val="en-US" w:eastAsia="zh-CN" w:bidi="ar-SA"/>
              </w:rPr>
              <w:t>KJ</w:t>
            </w:r>
            <w:r>
              <w:rPr>
                <w:rFonts w:hint="default" w:ascii="Times New Roman" w:hAnsi="Times New Roman" w:eastAsia="宋体" w:cs="Times New Roman"/>
                <w:b w:val="0"/>
                <w:bCs w:val="0"/>
                <w:color w:val="auto"/>
                <w:kern w:val="2"/>
                <w:sz w:val="24"/>
                <w:szCs w:val="24"/>
                <w:highlight w:val="none"/>
                <w:lang w:val="en-US" w:eastAsia="zh-CN" w:bidi="ar-SA"/>
              </w:rPr>
              <w:t>/a÷</w:t>
            </w:r>
            <w:r>
              <w:rPr>
                <w:rFonts w:hint="default" w:ascii="Times New Roman" w:hAnsi="Times New Roman" w:cs="Times New Roman"/>
                <w:b w:val="0"/>
                <w:bCs w:val="0"/>
                <w:color w:val="auto"/>
                <w:kern w:val="2"/>
                <w:sz w:val="24"/>
                <w:szCs w:val="24"/>
                <w:highlight w:val="none"/>
                <w:lang w:val="en-US" w:eastAsia="zh-CN" w:bidi="ar-SA"/>
              </w:rPr>
              <w:t>9580KJ/kg</w:t>
            </w:r>
            <w:r>
              <w:rPr>
                <w:rFonts w:hint="default" w:ascii="Times New Roman" w:hAnsi="Times New Roman" w:eastAsia="宋体" w:cs="Times New Roman"/>
                <w:b w:val="0"/>
                <w:bCs w:val="0"/>
                <w:color w:val="auto"/>
                <w:kern w:val="2"/>
                <w:sz w:val="24"/>
                <w:szCs w:val="24"/>
                <w:highlight w:val="none"/>
                <w:lang w:val="en-US" w:eastAsia="zh-CN" w:bidi="ar-SA"/>
              </w:rPr>
              <w:t>÷85%÷</w:t>
            </w:r>
            <w:r>
              <w:rPr>
                <w:rFonts w:hint="default" w:ascii="Times New Roman" w:hAnsi="Times New Roman" w:cs="Times New Roman"/>
                <w:b w:val="0"/>
                <w:bCs w:val="0"/>
                <w:color w:val="auto"/>
                <w:kern w:val="2"/>
                <w:sz w:val="24"/>
                <w:szCs w:val="24"/>
                <w:highlight w:val="none"/>
                <w:lang w:val="en-US" w:eastAsia="zh-CN" w:bidi="ar-SA"/>
              </w:rPr>
              <w:t>1000</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1665</w:t>
            </w:r>
            <w:r>
              <w:rPr>
                <w:rFonts w:hint="default" w:ascii="Times New Roman" w:hAnsi="Times New Roman" w:cs="Times New Roman"/>
                <w:b w:val="0"/>
                <w:bCs w:val="0"/>
                <w:color w:val="auto"/>
                <w:kern w:val="2"/>
                <w:sz w:val="24"/>
                <w:szCs w:val="24"/>
                <w:highlight w:val="none"/>
                <w:lang w:val="en-US" w:eastAsia="zh-CN" w:bidi="ar-SA"/>
              </w:rPr>
              <w:t>t/a。</w:t>
            </w:r>
            <w:r>
              <w:rPr>
                <w:rFonts w:hint="default" w:ascii="Times New Roman" w:hAnsi="Times New Roman" w:eastAsia="宋体" w:cs="Times New Roman"/>
                <w:b w:val="0"/>
                <w:bCs w:val="0"/>
                <w:color w:val="auto"/>
                <w:sz w:val="24"/>
                <w:highlight w:val="none"/>
                <w:lang w:val="en-US" w:eastAsia="zh-CN"/>
              </w:rPr>
              <w:t>小时最大燃料量</w:t>
            </w:r>
            <w:r>
              <w:rPr>
                <w:rFonts w:hint="eastAsia" w:cs="Times New Roman"/>
                <w:b w:val="0"/>
                <w:bCs w:val="0"/>
                <w:color w:val="auto"/>
                <w:sz w:val="24"/>
                <w:highlight w:val="none"/>
                <w:lang w:val="en-US" w:eastAsia="zh-CN"/>
              </w:rPr>
              <w:t>2.78</w:t>
            </w:r>
            <w:r>
              <w:rPr>
                <w:rFonts w:hint="default" w:ascii="Times New Roman" w:hAnsi="Times New Roman" w:eastAsia="宋体" w:cs="Times New Roman"/>
                <w:b w:val="0"/>
                <w:bCs w:val="0"/>
                <w:color w:val="auto"/>
                <w:sz w:val="24"/>
                <w:highlight w:val="none"/>
                <w:lang w:val="en-US" w:eastAsia="zh-CN"/>
              </w:rPr>
              <w:t>t/h。</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rPr>
              <w:t>、主要产品方案</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主要产品方案表见表2-</w:t>
            </w:r>
            <w:r>
              <w:rPr>
                <w:rFonts w:hint="default" w:ascii="Times New Roman" w:hAnsi="Times New Roman" w:cs="Times New Roman"/>
                <w:b w:val="0"/>
                <w:bCs w:val="0"/>
                <w:color w:val="auto"/>
                <w:sz w:val="24"/>
                <w:lang w:val="en-US" w:eastAsia="zh-CN"/>
              </w:rPr>
              <w:t>3</w:t>
            </w:r>
            <w:r>
              <w:rPr>
                <w:rFonts w:hint="default" w:ascii="Times New Roman" w:hAnsi="Times New Roman" w:eastAsia="宋体" w:cs="Times New Roman"/>
                <w:b w:val="0"/>
                <w:bCs w:val="0"/>
                <w:color w:val="auto"/>
                <w:sz w:val="24"/>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w:t>
            </w:r>
            <w:r>
              <w:rPr>
                <w:rFonts w:hint="default" w:ascii="Times New Roman" w:hAnsi="Times New Roman" w:cs="Times New Roman" w:eastAsiaTheme="minorEastAsia"/>
                <w:b/>
                <w:bCs/>
                <w:color w:val="auto"/>
                <w:sz w:val="21"/>
                <w:szCs w:val="24"/>
                <w:lang w:val="en-US" w:eastAsia="zh-CN"/>
              </w:rPr>
              <w:t xml:space="preserve">3  </w:t>
            </w:r>
            <w:r>
              <w:rPr>
                <w:rFonts w:hint="default" w:ascii="Times New Roman" w:hAnsi="Times New Roman" w:cs="Times New Roman" w:eastAsiaTheme="minorEastAsia"/>
                <w:b/>
                <w:bCs/>
                <w:color w:val="auto"/>
                <w:sz w:val="21"/>
                <w:szCs w:val="24"/>
              </w:rPr>
              <w:t>主要产品方案表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1"/>
              <w:gridCol w:w="2116"/>
              <w:gridCol w:w="1817"/>
              <w:gridCol w:w="1713"/>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4" w:hRule="atLeast"/>
                <w:jc w:val="center"/>
              </w:trPr>
              <w:tc>
                <w:tcPr>
                  <w:tcW w:w="639" w:type="pct"/>
                  <w:tcBorders>
                    <w:tl2br w:val="nil"/>
                    <w:tr2bl w:val="nil"/>
                  </w:tcBorders>
                  <w:vAlign w:val="center"/>
                </w:tcPr>
                <w:p>
                  <w:pPr>
                    <w:jc w:val="center"/>
                    <w:rPr>
                      <w:rFonts w:hint="default" w:ascii="Times New Roman" w:hAnsi="Times New Roman" w:eastAsia="宋体" w:cs="Times New Roman"/>
                      <w:color w:val="auto"/>
                      <w:sz w:val="21"/>
                      <w:szCs w:val="21"/>
                    </w:rPr>
                  </w:pPr>
                  <w:bookmarkStart w:id="13" w:name="_Hlk84530751"/>
                  <w:r>
                    <w:rPr>
                      <w:rFonts w:hint="default" w:ascii="Times New Roman" w:hAnsi="Times New Roman" w:eastAsia="宋体" w:cs="Times New Roman"/>
                      <w:color w:val="auto"/>
                      <w:sz w:val="21"/>
                      <w:szCs w:val="21"/>
                      <w:lang w:bidi="ar"/>
                    </w:rPr>
                    <w:t>序号</w:t>
                  </w:r>
                </w:p>
              </w:tc>
              <w:tc>
                <w:tcPr>
                  <w:tcW w:w="1262" w:type="pct"/>
                  <w:tcBorders>
                    <w:tl2br w:val="nil"/>
                    <w:tr2bl w:val="nil"/>
                  </w:tcBorders>
                  <w:vAlign w:val="center"/>
                </w:tcPr>
                <w:p>
                  <w:pPr>
                    <w:jc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产品名称</w:t>
                  </w:r>
                </w:p>
              </w:tc>
              <w:tc>
                <w:tcPr>
                  <w:tcW w:w="10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单位</w:t>
                  </w:r>
                </w:p>
              </w:tc>
              <w:tc>
                <w:tcPr>
                  <w:tcW w:w="102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年产量</w:t>
                  </w:r>
                </w:p>
              </w:tc>
              <w:tc>
                <w:tcPr>
                  <w:tcW w:w="990"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0" w:hRule="atLeast"/>
                <w:jc w:val="center"/>
              </w:trPr>
              <w:tc>
                <w:tcPr>
                  <w:tcW w:w="639"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w:t>
                  </w:r>
                </w:p>
              </w:tc>
              <w:tc>
                <w:tcPr>
                  <w:tcW w:w="1262"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eastAsia="zh-CN"/>
                    </w:rPr>
                    <w:t>鲜食</w:t>
                  </w:r>
                  <w:r>
                    <w:rPr>
                      <w:rFonts w:hint="default" w:ascii="Times New Roman" w:hAnsi="Times New Roman" w:cs="Times New Roman"/>
                      <w:szCs w:val="21"/>
                    </w:rPr>
                    <w:t>玉米</w:t>
                  </w:r>
                </w:p>
              </w:tc>
              <w:tc>
                <w:tcPr>
                  <w:tcW w:w="1084" w:type="pct"/>
                  <w:tcBorders>
                    <w:tl2br w:val="nil"/>
                    <w:tr2bl w:val="nil"/>
                  </w:tcBorders>
                  <w:vAlign w:val="center"/>
                </w:tcPr>
                <w:p>
                  <w:pPr>
                    <w:jc w:val="center"/>
                    <w:rPr>
                      <w:rFonts w:hint="default" w:ascii="Times New Roman" w:hAnsi="Times New Roman" w:eastAsia="宋体" w:cs="Times New Roman"/>
                      <w:kern w:val="2"/>
                      <w:sz w:val="21"/>
                      <w:szCs w:val="21"/>
                      <w:lang w:val="fr" w:eastAsia="zh-CN" w:bidi="ar-SA"/>
                    </w:rPr>
                  </w:pPr>
                  <w:r>
                    <w:rPr>
                      <w:rFonts w:hint="default" w:ascii="Times New Roman" w:hAnsi="Times New Roman" w:cs="Times New Roman"/>
                      <w:szCs w:val="21"/>
                    </w:rPr>
                    <w:t>万穗</w:t>
                  </w:r>
                </w:p>
              </w:tc>
              <w:tc>
                <w:tcPr>
                  <w:tcW w:w="1022"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20</w:t>
                  </w:r>
                  <w:r>
                    <w:rPr>
                      <w:rFonts w:hint="default" w:ascii="Times New Roman" w:hAnsi="Times New Roman" w:cs="Times New Roman"/>
                      <w:szCs w:val="21"/>
                    </w:rPr>
                    <w:t>00</w:t>
                  </w:r>
                </w:p>
              </w:tc>
              <w:tc>
                <w:tcPr>
                  <w:tcW w:w="990"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4000t/a，</w:t>
                  </w:r>
                  <w:r>
                    <w:rPr>
                      <w:rFonts w:hint="default" w:ascii="Times New Roman" w:hAnsi="Times New Roman" w:cs="Times New Roman"/>
                      <w:szCs w:val="21"/>
                    </w:rPr>
                    <w:t>外售</w:t>
                  </w:r>
                </w:p>
              </w:tc>
            </w:tr>
            <w:bookmarkEnd w:id="13"/>
          </w:tbl>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4、主要设备</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本项目主要生产设备见表2-</w:t>
            </w:r>
            <w:r>
              <w:rPr>
                <w:rFonts w:hint="eastAsia" w:ascii="Times New Roman" w:hAnsi="Times New Roman" w:cs="Times New Roman"/>
                <w:b w:val="0"/>
                <w:bCs/>
                <w:color w:val="auto"/>
                <w:sz w:val="24"/>
                <w:lang w:val="en-US" w:eastAsia="zh-CN"/>
              </w:rPr>
              <w:t>4</w:t>
            </w:r>
            <w:r>
              <w:rPr>
                <w:rFonts w:hint="default" w:ascii="Times New Roman" w:hAnsi="Times New Roman" w:eastAsia="宋体" w:cs="Times New Roman"/>
                <w:b w:val="0"/>
                <w:bCs/>
                <w:color w:val="auto"/>
                <w:sz w:val="24"/>
                <w:lang w:val="en-US" w:eastAsia="zh-CN"/>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w:t>
            </w:r>
            <w:r>
              <w:rPr>
                <w:rFonts w:hint="eastAsia" w:ascii="Times New Roman" w:hAnsi="Times New Roman" w:cs="Times New Roman" w:eastAsiaTheme="minorEastAsia"/>
                <w:b/>
                <w:bCs/>
                <w:color w:val="auto"/>
                <w:sz w:val="21"/>
                <w:szCs w:val="24"/>
                <w:lang w:val="en-US" w:eastAsia="zh-CN"/>
              </w:rPr>
              <w:t>-4</w:t>
            </w:r>
            <w:r>
              <w:rPr>
                <w:rFonts w:hint="default" w:ascii="Times New Roman" w:hAnsi="Times New Roman" w:cs="Times New Roman" w:eastAsiaTheme="minorEastAsia"/>
                <w:b/>
                <w:bCs/>
                <w:color w:val="auto"/>
                <w:sz w:val="21"/>
                <w:szCs w:val="24"/>
                <w:lang w:val="en-US" w:eastAsia="zh-CN"/>
              </w:rPr>
              <w:t xml:space="preserve">  </w:t>
            </w:r>
            <w:r>
              <w:rPr>
                <w:rFonts w:hint="default" w:ascii="Times New Roman" w:hAnsi="Times New Roman" w:cs="Times New Roman" w:eastAsiaTheme="minorEastAsia"/>
                <w:b/>
                <w:bCs/>
                <w:color w:val="auto"/>
                <w:sz w:val="21"/>
                <w:szCs w:val="24"/>
              </w:rPr>
              <w:t>本项目主要生产设备一览表</w:t>
            </w:r>
          </w:p>
          <w:bookmarkEnd w:id="11"/>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3516"/>
              <w:gridCol w:w="1544"/>
              <w:gridCol w:w="1410"/>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bookmarkStart w:id="14" w:name="_Hlk84530798"/>
                  <w:r>
                    <w:rPr>
                      <w:rFonts w:hint="default" w:ascii="Times New Roman" w:hAnsi="Times New Roman" w:eastAsia="宋体" w:cs="Times New Roman"/>
                      <w:color w:val="auto"/>
                      <w:sz w:val="21"/>
                      <w:szCs w:val="21"/>
                      <w:highlight w:val="none"/>
                      <w:lang w:bidi="ar"/>
                    </w:rPr>
                    <w:t>序号</w:t>
                  </w:r>
                </w:p>
              </w:tc>
              <w:tc>
                <w:tcPr>
                  <w:tcW w:w="2098"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名称</w:t>
                  </w:r>
                </w:p>
              </w:tc>
              <w:tc>
                <w:tcPr>
                  <w:tcW w:w="921"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单位</w:t>
                  </w:r>
                </w:p>
              </w:tc>
              <w:tc>
                <w:tcPr>
                  <w:tcW w:w="841"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数量</w:t>
                  </w:r>
                </w:p>
              </w:tc>
              <w:tc>
                <w:tcPr>
                  <w:tcW w:w="528"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eastAsia="zh-CN" w:bidi="ar"/>
                    </w:rPr>
                  </w:pPr>
                  <w:r>
                    <w:rPr>
                      <w:rFonts w:hint="default" w:ascii="Times New Roman" w:hAnsi="Times New Roman" w:cs="Times New Roman"/>
                      <w:color w:val="auto"/>
                      <w:sz w:val="21"/>
                      <w:szCs w:val="21"/>
                      <w:highlight w:val="non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1</w:t>
                  </w:r>
                </w:p>
              </w:tc>
              <w:tc>
                <w:tcPr>
                  <w:tcW w:w="2098" w:type="pct"/>
                  <w:tcBorders>
                    <w:tl2br w:val="nil"/>
                    <w:tr2bl w:val="nil"/>
                  </w:tcBorders>
                  <w:vAlign w:val="center"/>
                </w:tcPr>
                <w:p>
                  <w:pPr>
                    <w:widowControl/>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eastAsia="zh-CN"/>
                    </w:rPr>
                    <w:t>高温灭菌锅</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套</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13</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2</w:t>
                  </w:r>
                </w:p>
              </w:tc>
              <w:tc>
                <w:tcPr>
                  <w:tcW w:w="2098"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自动灌装机</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套</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18</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3</w:t>
                  </w:r>
                </w:p>
              </w:tc>
              <w:tc>
                <w:tcPr>
                  <w:tcW w:w="2098" w:type="pct"/>
                  <w:tcBorders>
                    <w:tl2br w:val="nil"/>
                    <w:tr2bl w:val="nil"/>
                  </w:tcBorders>
                  <w:vAlign w:val="bottom"/>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清洗线</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条</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4</w:t>
                  </w:r>
                </w:p>
              </w:tc>
              <w:tc>
                <w:tcPr>
                  <w:tcW w:w="2098" w:type="pct"/>
                  <w:tcBorders>
                    <w:tl2br w:val="nil"/>
                    <w:tr2bl w:val="nil"/>
                  </w:tcBorders>
                  <w:vAlign w:val="bottom"/>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去头尾机</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条</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8</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5</w:t>
                  </w:r>
                </w:p>
              </w:tc>
              <w:tc>
                <w:tcPr>
                  <w:tcW w:w="2098" w:type="pct"/>
                  <w:tcBorders>
                    <w:tl2br w:val="nil"/>
                    <w:tr2bl w:val="nil"/>
                  </w:tcBorders>
                  <w:vAlign w:val="bottom"/>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lang w:eastAsia="zh-CN"/>
                    </w:rPr>
                    <w:t>风干线</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条</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4</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6</w:t>
                  </w:r>
                </w:p>
              </w:tc>
              <w:tc>
                <w:tcPr>
                  <w:tcW w:w="2098" w:type="pct"/>
                  <w:tcBorders>
                    <w:tl2br w:val="nil"/>
                    <w:tr2bl w:val="nil"/>
                  </w:tcBorders>
                  <w:vAlign w:val="bottom"/>
                </w:tcPr>
                <w:p>
                  <w:pPr>
                    <w:widowControl/>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6t/h</w:t>
                  </w:r>
                  <w:r>
                    <w:rPr>
                      <w:rFonts w:hint="default" w:ascii="Times New Roman" w:hAnsi="Times New Roman" w:cs="Times New Roman"/>
                      <w:color w:val="auto"/>
                      <w:kern w:val="0"/>
                      <w:szCs w:val="21"/>
                      <w:lang w:eastAsia="zh-CN"/>
                    </w:rPr>
                    <w:t>燃生物质蒸汽锅炉</w:t>
                  </w:r>
                </w:p>
              </w:tc>
              <w:tc>
                <w:tcPr>
                  <w:tcW w:w="92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eastAsia="zh-CN"/>
                    </w:rPr>
                    <w:t>台</w:t>
                  </w:r>
                </w:p>
              </w:tc>
              <w:tc>
                <w:tcPr>
                  <w:tcW w:w="841"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val="en-US" w:eastAsia="zh-CN"/>
                    </w:rPr>
                    <w:t>1</w:t>
                  </w:r>
                </w:p>
              </w:tc>
              <w:tc>
                <w:tcPr>
                  <w:tcW w:w="528" w:type="pct"/>
                  <w:tcBorders>
                    <w:tl2br w:val="nil"/>
                    <w:tr2bl w:val="nil"/>
                  </w:tcBorders>
                  <w:vAlign w:val="center"/>
                </w:tcPr>
                <w:p>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7</w:t>
                  </w:r>
                </w:p>
              </w:tc>
              <w:tc>
                <w:tcPr>
                  <w:tcW w:w="2098"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喷码机</w:t>
                  </w:r>
                </w:p>
              </w:tc>
              <w:tc>
                <w:tcPr>
                  <w:tcW w:w="92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台</w:t>
                  </w:r>
                </w:p>
              </w:tc>
              <w:tc>
                <w:tcPr>
                  <w:tcW w:w="84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1</w:t>
                  </w:r>
                </w:p>
              </w:tc>
              <w:tc>
                <w:tcPr>
                  <w:tcW w:w="528" w:type="pct"/>
                  <w:tcBorders>
                    <w:tl2br w:val="nil"/>
                    <w:tr2bl w:val="nil"/>
                  </w:tcBorders>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8</w:t>
                  </w:r>
                </w:p>
              </w:tc>
              <w:tc>
                <w:tcPr>
                  <w:tcW w:w="2098"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传送带</w:t>
                  </w:r>
                </w:p>
              </w:tc>
              <w:tc>
                <w:tcPr>
                  <w:tcW w:w="92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条</w:t>
                  </w:r>
                </w:p>
              </w:tc>
              <w:tc>
                <w:tcPr>
                  <w:tcW w:w="84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30</w:t>
                  </w:r>
                </w:p>
              </w:tc>
              <w:tc>
                <w:tcPr>
                  <w:tcW w:w="528" w:type="pct"/>
                  <w:tcBorders>
                    <w:tl2br w:val="nil"/>
                    <w:tr2bl w:val="nil"/>
                  </w:tcBorders>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0" w:type="pct"/>
                  <w:tcBorders>
                    <w:tl2br w:val="nil"/>
                    <w:tr2bl w:val="nil"/>
                  </w:tcBorders>
                  <w:vAlign w:val="center"/>
                </w:tcPr>
                <w:p>
                  <w:pPr>
                    <w:shd w:val="clear"/>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9</w:t>
                  </w:r>
                </w:p>
              </w:tc>
              <w:tc>
                <w:tcPr>
                  <w:tcW w:w="2098" w:type="pct"/>
                  <w:tcBorders>
                    <w:tl2br w:val="nil"/>
                    <w:tr2bl w:val="nil"/>
                  </w:tcBorders>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气吹式剥皮机</w:t>
                  </w:r>
                </w:p>
              </w:tc>
              <w:tc>
                <w:tcPr>
                  <w:tcW w:w="92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台</w:t>
                  </w:r>
                </w:p>
              </w:tc>
              <w:tc>
                <w:tcPr>
                  <w:tcW w:w="841" w:type="pct"/>
                  <w:tcBorders>
                    <w:tl2br w:val="nil"/>
                    <w:tr2bl w:val="nil"/>
                  </w:tcBorders>
                  <w:vAlign w:val="center"/>
                </w:tcPr>
                <w:p>
                  <w:pPr>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4</w:t>
                  </w:r>
                </w:p>
              </w:tc>
              <w:tc>
                <w:tcPr>
                  <w:tcW w:w="528" w:type="pct"/>
                  <w:tcBorders>
                    <w:tl2br w:val="nil"/>
                    <w:tr2bl w:val="nil"/>
                  </w:tcBorders>
                  <w:vAlign w:val="center"/>
                </w:tcPr>
                <w:p>
                  <w:pPr>
                    <w:jc w:val="center"/>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t>/</w:t>
                  </w:r>
                </w:p>
              </w:tc>
            </w:tr>
            <w:bookmarkEnd w:id="14"/>
          </w:tbl>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5、劳动定员及工作制度</w:t>
            </w:r>
          </w:p>
          <w:p>
            <w:pPr>
              <w:adjustRightInd w:val="0"/>
              <w:snapToGrid w:val="0"/>
              <w:spacing w:line="360" w:lineRule="auto"/>
              <w:ind w:firstLine="480" w:firstLineChars="200"/>
              <w:rPr>
                <w:rFonts w:hint="default" w:ascii="Times New Roman" w:hAnsi="Times New Roman" w:cs="Times New Roman"/>
                <w:b w:val="0"/>
                <w:bCs/>
                <w:color w:val="auto"/>
                <w:sz w:val="24"/>
              </w:rPr>
            </w:pPr>
            <w:r>
              <w:rPr>
                <w:rFonts w:hint="default" w:ascii="Times New Roman" w:hAnsi="Times New Roman" w:cs="Times New Roman"/>
                <w:b w:val="0"/>
                <w:bCs/>
                <w:color w:val="auto"/>
                <w:kern w:val="0"/>
                <w:sz w:val="24"/>
                <w:szCs w:val="20"/>
              </w:rPr>
              <w:t>本项目劳动定</w:t>
            </w:r>
            <w:r>
              <w:rPr>
                <w:rFonts w:hint="default" w:ascii="Times New Roman" w:hAnsi="Times New Roman" w:cs="Times New Roman"/>
                <w:b w:val="0"/>
                <w:bCs/>
                <w:color w:val="auto"/>
                <w:sz w:val="24"/>
              </w:rPr>
              <w:t>员</w:t>
            </w:r>
            <w:r>
              <w:rPr>
                <w:rFonts w:hint="default" w:ascii="Times New Roman" w:hAnsi="Times New Roman" w:cs="Times New Roman"/>
                <w:b w:val="0"/>
                <w:bCs/>
                <w:color w:val="auto"/>
                <w:sz w:val="24"/>
                <w:lang w:val="en-US" w:eastAsia="zh-CN"/>
              </w:rPr>
              <w:t>200</w:t>
            </w:r>
            <w:r>
              <w:rPr>
                <w:rFonts w:hint="default" w:ascii="Times New Roman" w:hAnsi="Times New Roman" w:cs="Times New Roman"/>
                <w:b w:val="0"/>
                <w:bCs/>
                <w:color w:val="auto"/>
                <w:sz w:val="24"/>
              </w:rPr>
              <w:t>人，</w:t>
            </w:r>
            <w:r>
              <w:rPr>
                <w:rFonts w:hint="default" w:ascii="Times New Roman" w:hAnsi="Times New Roman" w:cs="Times New Roman"/>
                <w:b w:val="0"/>
                <w:bCs/>
                <w:color w:val="auto"/>
                <w:sz w:val="24"/>
                <w:lang w:eastAsia="zh-CN"/>
              </w:rPr>
              <w:t>鲜食玉米</w:t>
            </w:r>
            <w:r>
              <w:rPr>
                <w:rFonts w:hint="default" w:ascii="Times New Roman" w:hAnsi="Times New Roman" w:cs="Times New Roman"/>
                <w:b w:val="0"/>
                <w:bCs/>
                <w:color w:val="auto"/>
                <w:sz w:val="24"/>
              </w:rPr>
              <w:t>年生产</w:t>
            </w:r>
            <w:r>
              <w:rPr>
                <w:rFonts w:hint="default" w:ascii="Times New Roman" w:hAnsi="Times New Roman" w:cs="Times New Roman"/>
                <w:b w:val="0"/>
                <w:bCs/>
                <w:color w:val="auto"/>
                <w:sz w:val="24"/>
                <w:lang w:val="en-US" w:eastAsia="zh-CN"/>
              </w:rPr>
              <w:t>60</w:t>
            </w:r>
            <w:r>
              <w:rPr>
                <w:rFonts w:hint="default" w:ascii="Times New Roman" w:hAnsi="Times New Roman" w:cs="Times New Roman"/>
                <w:b w:val="0"/>
                <w:bCs/>
                <w:color w:val="auto"/>
                <w:sz w:val="24"/>
              </w:rPr>
              <w:t>天，一班制，</w:t>
            </w:r>
            <w:r>
              <w:rPr>
                <w:rFonts w:hint="default" w:ascii="Times New Roman" w:hAnsi="Times New Roman" w:eastAsia="宋体" w:cs="Times New Roman"/>
                <w:b w:val="0"/>
                <w:bCs/>
                <w:color w:val="auto"/>
                <w:sz w:val="24"/>
                <w:lang w:val="en-US" w:eastAsia="zh-CN"/>
              </w:rPr>
              <w:t>每班</w:t>
            </w:r>
            <w:r>
              <w:rPr>
                <w:rFonts w:hint="default" w:ascii="Times New Roman" w:hAnsi="Times New Roman" w:cs="Times New Roman"/>
                <w:b w:val="0"/>
                <w:bCs/>
                <w:color w:val="auto"/>
                <w:sz w:val="24"/>
              </w:rPr>
              <w:t>10小时。</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6、公用工程</w:t>
            </w:r>
          </w:p>
          <w:p>
            <w:pPr>
              <w:pStyle w:val="10"/>
              <w:adjustRightInd w:val="0"/>
              <w:snapToGrid w:val="0"/>
              <w:spacing w:after="0" w:line="360" w:lineRule="auto"/>
              <w:rPr>
                <w:rFonts w:hint="default" w:ascii="Times New Roman" w:hAnsi="Times New Roman" w:cs="Times New Roman"/>
                <w:b w:val="0"/>
                <w:bCs/>
                <w:color w:val="auto"/>
              </w:rPr>
            </w:pPr>
            <w:r>
              <w:rPr>
                <w:rFonts w:hint="default" w:ascii="Times New Roman" w:hAnsi="Times New Roman" w:cs="Times New Roman"/>
                <w:b w:val="0"/>
                <w:bCs/>
                <w:color w:val="auto"/>
              </w:rPr>
              <w:t>（1）给水</w:t>
            </w:r>
          </w:p>
          <w:p>
            <w:pPr>
              <w:adjustRightInd w:val="0"/>
              <w:snapToGrid w:val="0"/>
              <w:spacing w:line="360" w:lineRule="auto"/>
              <w:ind w:firstLine="480" w:firstLineChars="200"/>
              <w:textAlignment w:val="baseline"/>
              <w:rPr>
                <w:rFonts w:hint="default" w:ascii="Times New Roman" w:hAnsi="Times New Roman" w:cs="Times New Roman"/>
                <w:b w:val="0"/>
                <w:bCs/>
                <w:color w:val="auto"/>
                <w:sz w:val="24"/>
                <w:lang w:val="zh-CN"/>
              </w:rPr>
            </w:pPr>
            <w:r>
              <w:rPr>
                <w:rFonts w:hint="default" w:ascii="Times New Roman" w:hAnsi="Times New Roman" w:cs="Times New Roman"/>
                <w:b w:val="0"/>
                <w:bCs/>
                <w:color w:val="auto"/>
                <w:sz w:val="24"/>
              </w:rPr>
              <w:t>生活用水：</w:t>
            </w:r>
            <w:r>
              <w:rPr>
                <w:rFonts w:hint="default" w:ascii="Times New Roman" w:hAnsi="Times New Roman" w:eastAsia="宋体" w:cs="Times New Roman"/>
                <w:b w:val="0"/>
                <w:bCs/>
                <w:color w:val="auto"/>
                <w:sz w:val="24"/>
                <w:lang w:val="en-US" w:eastAsia="zh-CN"/>
              </w:rPr>
              <w:t>项目职工生活用水由</w:t>
            </w:r>
            <w:r>
              <w:rPr>
                <w:rFonts w:hint="default" w:ascii="Times New Roman" w:hAnsi="Times New Roman" w:cs="Times New Roman"/>
                <w:b w:val="0"/>
                <w:bCs/>
                <w:color w:val="auto"/>
                <w:sz w:val="24"/>
                <w:lang w:val="en-US" w:eastAsia="zh-CN"/>
              </w:rPr>
              <w:t>市政管网</w:t>
            </w:r>
            <w:r>
              <w:rPr>
                <w:rFonts w:hint="default" w:ascii="Times New Roman" w:hAnsi="Times New Roman" w:eastAsia="宋体" w:cs="Times New Roman"/>
                <w:b w:val="0"/>
                <w:bCs/>
                <w:color w:val="auto"/>
                <w:sz w:val="24"/>
                <w:lang w:val="en-US" w:eastAsia="zh-CN"/>
              </w:rPr>
              <w:t>供给</w:t>
            </w:r>
            <w:r>
              <w:rPr>
                <w:rFonts w:hint="default" w:ascii="Times New Roman" w:hAnsi="Times New Roman" w:cs="Times New Roman"/>
                <w:b w:val="0"/>
                <w:bCs/>
                <w:color w:val="auto"/>
                <w:sz w:val="24"/>
              </w:rPr>
              <w:t>。本项目员工为</w:t>
            </w:r>
            <w:r>
              <w:rPr>
                <w:rFonts w:hint="default" w:ascii="Times New Roman" w:hAnsi="Times New Roman" w:cs="Times New Roman"/>
                <w:b w:val="0"/>
                <w:bCs/>
                <w:color w:val="auto"/>
                <w:sz w:val="24"/>
                <w:lang w:val="en-US" w:eastAsia="zh-CN"/>
              </w:rPr>
              <w:t>200</w:t>
            </w:r>
            <w:r>
              <w:rPr>
                <w:rFonts w:hint="default" w:ascii="Times New Roman" w:hAnsi="Times New Roman" w:cs="Times New Roman"/>
                <w:b w:val="0"/>
                <w:bCs/>
                <w:color w:val="auto"/>
                <w:sz w:val="24"/>
              </w:rPr>
              <w:t>人，年生产天数为</w:t>
            </w:r>
            <w:r>
              <w:rPr>
                <w:rFonts w:hint="default" w:ascii="Times New Roman" w:hAnsi="Times New Roman" w:cs="Times New Roman"/>
                <w:b w:val="0"/>
                <w:bCs/>
                <w:color w:val="auto"/>
                <w:sz w:val="24"/>
                <w:lang w:val="en-US" w:eastAsia="zh-CN"/>
              </w:rPr>
              <w:t>60</w:t>
            </w:r>
            <w:r>
              <w:rPr>
                <w:rFonts w:hint="default" w:ascii="Times New Roman" w:hAnsi="Times New Roman" w:cs="Times New Roman"/>
                <w:b w:val="0"/>
                <w:bCs/>
                <w:color w:val="auto"/>
                <w:sz w:val="24"/>
              </w:rPr>
              <w:t>天，参照</w:t>
            </w:r>
            <w:r>
              <w:rPr>
                <w:rFonts w:hint="default" w:ascii="Times New Roman" w:hAnsi="Times New Roman" w:cs="Times New Roman"/>
                <w:b w:val="0"/>
                <w:bCs/>
                <w:color w:val="auto"/>
                <w:sz w:val="24"/>
                <w:szCs w:val="20"/>
              </w:rPr>
              <w:t>黑龙江省地方标准《用水定额》（DB23/T727-2021）</w:t>
            </w:r>
            <w:r>
              <w:rPr>
                <w:rFonts w:hint="default" w:ascii="Times New Roman" w:hAnsi="Times New Roman" w:cs="Times New Roman"/>
                <w:b w:val="0"/>
                <w:bCs/>
                <w:color w:val="auto"/>
                <w:sz w:val="24"/>
              </w:rPr>
              <w:t>，80L/人·d，则生活用水量</w:t>
            </w:r>
            <w:r>
              <w:rPr>
                <w:rFonts w:hint="default" w:ascii="Times New Roman" w:hAnsi="Times New Roman" w:cs="Times New Roman"/>
                <w:b w:val="0"/>
                <w:bCs/>
                <w:color w:val="auto"/>
                <w:sz w:val="24"/>
                <w:lang w:val="en-US" w:eastAsia="zh-CN"/>
              </w:rPr>
              <w:t>16</w:t>
            </w:r>
            <w:r>
              <w:rPr>
                <w:rFonts w:hint="default" w:ascii="Times New Roman" w:hAnsi="Times New Roman" w:cs="Times New Roman"/>
                <w:b w:val="0"/>
                <w:bCs/>
                <w:color w:val="auto"/>
                <w:sz w:val="24"/>
                <w:lang w:val="zh-CN"/>
              </w:rPr>
              <w:t>t/d，</w:t>
            </w:r>
            <w:r>
              <w:rPr>
                <w:rFonts w:hint="default" w:ascii="Times New Roman" w:hAnsi="Times New Roman" w:cs="Times New Roman"/>
                <w:b w:val="0"/>
                <w:bCs/>
                <w:color w:val="auto"/>
                <w:sz w:val="24"/>
                <w:lang w:val="en-US" w:eastAsia="zh-CN"/>
              </w:rPr>
              <w:t>960</w:t>
            </w:r>
            <w:r>
              <w:rPr>
                <w:rFonts w:hint="default" w:ascii="Times New Roman" w:hAnsi="Times New Roman" w:cs="Times New Roman"/>
                <w:b w:val="0"/>
                <w:bCs/>
                <w:color w:val="auto"/>
                <w:sz w:val="24"/>
                <w:lang w:val="zh-CN"/>
              </w:rPr>
              <w:t>t/a。</w:t>
            </w:r>
          </w:p>
          <w:p>
            <w:pPr>
              <w:adjustRightInd w:val="0"/>
              <w:snapToGrid w:val="0"/>
              <w:spacing w:line="360" w:lineRule="auto"/>
              <w:ind w:firstLine="480" w:firstLineChars="200"/>
              <w:textAlignment w:val="baseline"/>
              <w:rPr>
                <w:rFonts w:hint="default" w:ascii="Times New Roman" w:hAnsi="Times New Roman" w:cs="Times New Roman"/>
                <w:b w:val="0"/>
                <w:bCs/>
                <w:color w:val="auto"/>
                <w:sz w:val="24"/>
                <w:lang w:val="zh-CN"/>
              </w:rPr>
            </w:pPr>
            <w:r>
              <w:rPr>
                <w:rFonts w:hint="default" w:ascii="Times New Roman" w:hAnsi="Times New Roman" w:cs="Times New Roman"/>
                <w:b w:val="0"/>
                <w:bCs/>
                <w:color w:val="auto"/>
                <w:sz w:val="24"/>
                <w:lang w:val="zh-CN"/>
              </w:rPr>
              <w:t>生产用水：</w:t>
            </w:r>
          </w:p>
          <w:p>
            <w:pPr>
              <w:adjustRightInd w:val="0"/>
              <w:snapToGrid w:val="0"/>
              <w:spacing w:line="360" w:lineRule="auto"/>
              <w:ind w:firstLine="480" w:firstLineChars="200"/>
              <w:textAlignment w:val="baseline"/>
              <w:rPr>
                <w:rFonts w:hint="default" w:ascii="Times New Roman" w:hAnsi="Times New Roman" w:cs="Times New Roman"/>
                <w:b w:val="0"/>
                <w:bCs/>
                <w:color w:val="auto"/>
                <w:sz w:val="24"/>
                <w:szCs w:val="20"/>
                <w:highlight w:val="none"/>
              </w:rPr>
            </w:pPr>
            <w:r>
              <w:rPr>
                <w:rFonts w:hint="default" w:ascii="Times New Roman" w:hAnsi="Times New Roman" w:cs="Times New Roman"/>
                <w:b w:val="0"/>
                <w:bCs/>
                <w:color w:val="auto"/>
                <w:sz w:val="24"/>
                <w:lang w:val="zh-CN"/>
              </w:rPr>
              <w:fldChar w:fldCharType="begin"/>
            </w:r>
            <w:r>
              <w:rPr>
                <w:rFonts w:hint="default" w:ascii="Times New Roman" w:hAnsi="Times New Roman" w:cs="Times New Roman"/>
                <w:b w:val="0"/>
                <w:bCs/>
                <w:color w:val="auto"/>
                <w:sz w:val="24"/>
                <w:lang w:val="zh-CN"/>
              </w:rPr>
              <w:instrText xml:space="preserve"> = 1 \* GB3 </w:instrText>
            </w:r>
            <w:r>
              <w:rPr>
                <w:rFonts w:hint="default" w:ascii="Times New Roman" w:hAnsi="Times New Roman" w:cs="Times New Roman"/>
                <w:b w:val="0"/>
                <w:bCs/>
                <w:color w:val="auto"/>
                <w:sz w:val="24"/>
                <w:lang w:val="zh-CN"/>
              </w:rPr>
              <w:fldChar w:fldCharType="separate"/>
            </w:r>
            <w:r>
              <w:rPr>
                <w:rFonts w:hint="default" w:ascii="Times New Roman" w:hAnsi="Times New Roman" w:cs="Times New Roman"/>
                <w:b w:val="0"/>
                <w:bCs/>
                <w:color w:val="auto"/>
                <w:sz w:val="24"/>
                <w:lang w:val="zh-CN"/>
              </w:rPr>
              <w:t>①</w:t>
            </w:r>
            <w:r>
              <w:rPr>
                <w:rFonts w:hint="default" w:ascii="Times New Roman" w:hAnsi="Times New Roman" w:cs="Times New Roman"/>
                <w:b w:val="0"/>
                <w:bCs/>
                <w:color w:val="auto"/>
                <w:sz w:val="24"/>
                <w:lang w:val="zh-CN"/>
              </w:rPr>
              <w:fldChar w:fldCharType="end"/>
            </w:r>
            <w:r>
              <w:rPr>
                <w:rFonts w:hint="default" w:ascii="Times New Roman" w:hAnsi="Times New Roman" w:cs="Times New Roman"/>
                <w:b w:val="0"/>
                <w:bCs/>
                <w:color w:val="auto"/>
                <w:sz w:val="24"/>
                <w:lang w:val="zh-CN"/>
              </w:rPr>
              <w:t>车间地面冲洗用水：</w:t>
            </w:r>
            <w:r>
              <w:rPr>
                <w:rFonts w:hint="default" w:ascii="Times New Roman" w:hAnsi="Times New Roman" w:eastAsia="宋体" w:cs="Times New Roman"/>
                <w:b w:val="0"/>
                <w:bCs/>
                <w:color w:val="auto"/>
                <w:sz w:val="24"/>
                <w:lang w:val="en-US" w:eastAsia="zh-CN"/>
              </w:rPr>
              <w:t>项目</w:t>
            </w:r>
            <w:r>
              <w:rPr>
                <w:rFonts w:hint="default" w:ascii="Times New Roman" w:hAnsi="Times New Roman" w:cs="Times New Roman"/>
                <w:b w:val="0"/>
                <w:bCs/>
                <w:color w:val="auto"/>
                <w:sz w:val="24"/>
                <w:lang w:val="en-US" w:eastAsia="zh-CN"/>
              </w:rPr>
              <w:t>生产用水</w:t>
            </w:r>
            <w:r>
              <w:rPr>
                <w:rFonts w:hint="default" w:ascii="Times New Roman" w:hAnsi="Times New Roman" w:eastAsia="宋体" w:cs="Times New Roman"/>
                <w:b w:val="0"/>
                <w:bCs/>
                <w:color w:val="auto"/>
                <w:sz w:val="24"/>
                <w:lang w:val="en-US" w:eastAsia="zh-CN"/>
              </w:rPr>
              <w:t>由</w:t>
            </w:r>
            <w:r>
              <w:rPr>
                <w:rFonts w:hint="default" w:ascii="Times New Roman" w:hAnsi="Times New Roman" w:cs="Times New Roman"/>
                <w:b w:val="0"/>
                <w:bCs/>
                <w:color w:val="auto"/>
                <w:sz w:val="24"/>
                <w:lang w:val="en-US" w:eastAsia="zh-CN"/>
              </w:rPr>
              <w:t>市政管网</w:t>
            </w:r>
            <w:r>
              <w:rPr>
                <w:rFonts w:hint="default" w:ascii="Times New Roman" w:hAnsi="Times New Roman" w:eastAsia="宋体" w:cs="Times New Roman"/>
                <w:b w:val="0"/>
                <w:bCs/>
                <w:color w:val="auto"/>
                <w:sz w:val="24"/>
                <w:lang w:val="en-US" w:eastAsia="zh-CN"/>
              </w:rPr>
              <w:t>供给</w:t>
            </w:r>
            <w:r>
              <w:rPr>
                <w:rFonts w:hint="default" w:ascii="Times New Roman" w:hAnsi="Times New Roman" w:cs="Times New Roman"/>
                <w:b w:val="0"/>
                <w:bCs/>
                <w:color w:val="auto"/>
                <w:sz w:val="24"/>
              </w:rPr>
              <w:t>。参照</w:t>
            </w:r>
            <w:r>
              <w:rPr>
                <w:rFonts w:hint="default" w:ascii="Times New Roman" w:hAnsi="Times New Roman" w:cs="Times New Roman"/>
                <w:b w:val="0"/>
                <w:bCs/>
                <w:color w:val="auto"/>
                <w:sz w:val="24"/>
                <w:szCs w:val="20"/>
              </w:rPr>
              <w:t>黑龙江省地方标准《用水定额》（DB23/T727-2021）</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val="zh-CN"/>
              </w:rPr>
              <w:t>每</w:t>
            </w:r>
            <w:r>
              <w:rPr>
                <w:rFonts w:hint="eastAsia" w:cs="Times New Roman"/>
                <w:b w:val="0"/>
                <w:bCs/>
                <w:color w:val="auto"/>
                <w:sz w:val="24"/>
                <w:lang w:val="zh-CN"/>
              </w:rPr>
              <w:t>平方米</w:t>
            </w:r>
            <w:r>
              <w:rPr>
                <w:rFonts w:hint="default" w:ascii="Times New Roman" w:hAnsi="Times New Roman" w:cs="Times New Roman"/>
                <w:b w:val="0"/>
                <w:bCs/>
                <w:color w:val="auto"/>
                <w:sz w:val="24"/>
                <w:lang w:val="zh-CN"/>
              </w:rPr>
              <w:t>清洗用水按</w:t>
            </w:r>
            <w:r>
              <w:rPr>
                <w:rFonts w:hint="default" w:ascii="Times New Roman" w:hAnsi="Times New Roman" w:cs="Times New Roman"/>
                <w:b w:val="0"/>
                <w:bCs/>
                <w:color w:val="auto"/>
                <w:sz w:val="24"/>
              </w:rPr>
              <w:t>2</w:t>
            </w:r>
            <w:r>
              <w:rPr>
                <w:rFonts w:hint="default" w:ascii="Times New Roman" w:hAnsi="Times New Roman" w:cs="Times New Roman"/>
                <w:b w:val="0"/>
                <w:bCs/>
                <w:color w:val="auto"/>
                <w:sz w:val="24"/>
                <w:lang w:val="zh-CN"/>
              </w:rPr>
              <w:t>L计算，鲜食玉米车间地面</w:t>
            </w:r>
            <w:r>
              <w:rPr>
                <w:rFonts w:hint="default" w:ascii="Times New Roman" w:hAnsi="Times New Roman" w:cs="Times New Roman"/>
                <w:b w:val="0"/>
                <w:bCs/>
                <w:color w:val="auto"/>
                <w:sz w:val="24"/>
              </w:rPr>
              <w:t>为</w:t>
            </w:r>
            <w:r>
              <w:rPr>
                <w:rFonts w:hint="eastAsia" w:cs="Times New Roman"/>
                <w:b w:val="0"/>
                <w:bCs/>
                <w:color w:val="auto"/>
                <w:sz w:val="24"/>
                <w:lang w:eastAsia="zh-CN"/>
              </w:rPr>
              <w:t>2500</w:t>
            </w:r>
            <w:r>
              <w:rPr>
                <w:rFonts w:hint="default" w:ascii="Times New Roman" w:hAnsi="Times New Roman" w:cs="Times New Roman"/>
                <w:b w:val="0"/>
                <w:bCs/>
                <w:color w:val="auto"/>
                <w:sz w:val="24"/>
              </w:rPr>
              <w:t>m</w:t>
            </w:r>
            <w:r>
              <w:rPr>
                <w:rFonts w:hint="default" w:ascii="Times New Roman" w:hAnsi="Times New Roman" w:cs="Times New Roman"/>
                <w:b w:val="0"/>
                <w:bCs/>
                <w:color w:val="auto"/>
                <w:sz w:val="24"/>
                <w:vertAlign w:val="superscript"/>
              </w:rPr>
              <w:t>2</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eastAsia="zh-CN"/>
              </w:rPr>
              <w:t>生产期间每天冲洗一次车间地</w:t>
            </w:r>
            <w:r>
              <w:rPr>
                <w:rFonts w:hint="default" w:ascii="Times New Roman" w:hAnsi="Times New Roman" w:cs="Times New Roman"/>
                <w:b w:val="0"/>
                <w:bCs/>
                <w:color w:val="auto"/>
                <w:sz w:val="24"/>
                <w:highlight w:val="none"/>
                <w:lang w:eastAsia="zh-CN"/>
              </w:rPr>
              <w:t>面，</w:t>
            </w:r>
            <w:r>
              <w:rPr>
                <w:rFonts w:hint="default" w:ascii="Times New Roman" w:hAnsi="Times New Roman" w:cs="Times New Roman"/>
                <w:b w:val="0"/>
                <w:bCs/>
                <w:color w:val="auto"/>
                <w:sz w:val="24"/>
                <w:highlight w:val="none"/>
                <w:lang w:val="zh-CN"/>
              </w:rPr>
              <w:t>冲洗用水量为日均</w:t>
            </w:r>
            <w:r>
              <w:rPr>
                <w:rFonts w:hint="eastAsia" w:cs="Times New Roman"/>
                <w:b w:val="0"/>
                <w:bCs/>
                <w:color w:val="auto"/>
                <w:sz w:val="24"/>
                <w:highlight w:val="none"/>
                <w:lang w:val="en-US" w:eastAsia="zh-CN"/>
              </w:rPr>
              <w:t>5</w:t>
            </w:r>
            <w:r>
              <w:rPr>
                <w:rFonts w:hint="default" w:ascii="Times New Roman" w:hAnsi="Times New Roman" w:cs="Times New Roman"/>
                <w:b w:val="0"/>
                <w:bCs/>
                <w:color w:val="auto"/>
                <w:sz w:val="24"/>
                <w:highlight w:val="none"/>
                <w:lang w:val="zh-CN"/>
              </w:rPr>
              <w:t>t</w:t>
            </w:r>
            <w:r>
              <w:rPr>
                <w:rFonts w:hint="default" w:ascii="Times New Roman" w:hAnsi="Times New Roman" w:cs="Times New Roman"/>
                <w:b w:val="0"/>
                <w:bCs/>
                <w:color w:val="auto"/>
                <w:sz w:val="24"/>
                <w:highlight w:val="none"/>
              </w:rPr>
              <w:t>，年生产天数为</w:t>
            </w:r>
            <w:r>
              <w:rPr>
                <w:rFonts w:hint="default" w:ascii="Times New Roman" w:hAnsi="Times New Roman" w:cs="Times New Roman"/>
                <w:b w:val="0"/>
                <w:bCs/>
                <w:color w:val="auto"/>
                <w:sz w:val="24"/>
                <w:highlight w:val="none"/>
                <w:lang w:val="en-US" w:eastAsia="zh-CN"/>
              </w:rPr>
              <w:t>60</w:t>
            </w:r>
            <w:r>
              <w:rPr>
                <w:rFonts w:hint="default" w:ascii="Times New Roman" w:hAnsi="Times New Roman" w:cs="Times New Roman"/>
                <w:b w:val="0"/>
                <w:bCs/>
                <w:color w:val="auto"/>
                <w:sz w:val="24"/>
                <w:highlight w:val="none"/>
              </w:rPr>
              <w:t>天，年车间冲洗用水量为</w:t>
            </w:r>
            <w:r>
              <w:rPr>
                <w:rFonts w:hint="eastAsia" w:cs="Times New Roman"/>
                <w:b w:val="0"/>
                <w:bCs/>
                <w:color w:val="auto"/>
                <w:sz w:val="24"/>
                <w:highlight w:val="none"/>
                <w:lang w:val="en-US" w:eastAsia="zh-CN"/>
              </w:rPr>
              <w:t>300</w:t>
            </w:r>
            <w:r>
              <w:rPr>
                <w:rFonts w:hint="default" w:ascii="Times New Roman" w:hAnsi="Times New Roman" w:cs="Times New Roman"/>
                <w:b w:val="0"/>
                <w:bCs/>
                <w:color w:val="auto"/>
                <w:sz w:val="24"/>
                <w:highlight w:val="none"/>
                <w:lang w:val="zh-CN"/>
              </w:rPr>
              <w:t>t</w:t>
            </w:r>
            <w:r>
              <w:rPr>
                <w:rFonts w:hint="default" w:ascii="Times New Roman" w:hAnsi="Times New Roman" w:cs="Times New Roman"/>
                <w:b w:val="0"/>
                <w:bCs/>
                <w:color w:val="auto"/>
                <w:sz w:val="24"/>
                <w:highlight w:val="none"/>
              </w:rPr>
              <w:t>/a。</w:t>
            </w:r>
          </w:p>
          <w:p>
            <w:pPr>
              <w:adjustRightInd w:val="0"/>
              <w:snapToGrid w:val="0"/>
              <w:spacing w:line="360" w:lineRule="auto"/>
              <w:ind w:firstLine="480" w:firstLineChars="200"/>
              <w:textAlignment w:val="baseline"/>
              <w:rPr>
                <w:rFonts w:hint="default" w:ascii="Times New Roman" w:hAnsi="Times New Roman" w:cs="Times New Roman"/>
                <w:b w:val="0"/>
                <w:bCs/>
                <w:color w:val="auto"/>
                <w:sz w:val="24"/>
                <w:szCs w:val="20"/>
                <w:highlight w:val="none"/>
              </w:rPr>
            </w:pPr>
            <w:r>
              <w:rPr>
                <w:rFonts w:hint="default" w:ascii="Times New Roman" w:hAnsi="Times New Roman" w:cs="Times New Roman"/>
                <w:b w:val="0"/>
                <w:bCs/>
                <w:color w:val="auto"/>
                <w:sz w:val="24"/>
                <w:szCs w:val="20"/>
                <w:highlight w:val="none"/>
              </w:rPr>
              <w:fldChar w:fldCharType="begin"/>
            </w:r>
            <w:r>
              <w:rPr>
                <w:rFonts w:hint="default" w:ascii="Times New Roman" w:hAnsi="Times New Roman" w:cs="Times New Roman"/>
                <w:b w:val="0"/>
                <w:bCs/>
                <w:color w:val="auto"/>
                <w:sz w:val="24"/>
                <w:szCs w:val="20"/>
                <w:highlight w:val="none"/>
              </w:rPr>
              <w:instrText xml:space="preserve"> = 2 \* GB3 </w:instrText>
            </w:r>
            <w:r>
              <w:rPr>
                <w:rFonts w:hint="default" w:ascii="Times New Roman" w:hAnsi="Times New Roman" w:cs="Times New Roman"/>
                <w:b w:val="0"/>
                <w:bCs/>
                <w:color w:val="auto"/>
                <w:sz w:val="24"/>
                <w:szCs w:val="20"/>
                <w:highlight w:val="none"/>
              </w:rPr>
              <w:fldChar w:fldCharType="separate"/>
            </w:r>
            <w:r>
              <w:rPr>
                <w:rFonts w:hint="default" w:ascii="Times New Roman" w:hAnsi="Times New Roman" w:cs="Times New Roman"/>
                <w:b w:val="0"/>
                <w:bCs/>
                <w:color w:val="auto"/>
                <w:sz w:val="24"/>
                <w:szCs w:val="20"/>
                <w:highlight w:val="none"/>
              </w:rPr>
              <w:t>②</w:t>
            </w:r>
            <w:r>
              <w:rPr>
                <w:rFonts w:hint="default" w:ascii="Times New Roman" w:hAnsi="Times New Roman" w:cs="Times New Roman"/>
                <w:b w:val="0"/>
                <w:bCs/>
                <w:color w:val="auto"/>
                <w:sz w:val="24"/>
                <w:szCs w:val="20"/>
                <w:highlight w:val="none"/>
              </w:rPr>
              <w:fldChar w:fldCharType="end"/>
            </w:r>
            <w:r>
              <w:rPr>
                <w:rFonts w:hint="default" w:ascii="Times New Roman" w:hAnsi="Times New Roman" w:cs="Times New Roman"/>
                <w:b w:val="0"/>
                <w:bCs/>
                <w:color w:val="auto"/>
                <w:sz w:val="24"/>
                <w:szCs w:val="20"/>
                <w:lang w:eastAsia="zh-CN"/>
              </w:rPr>
              <w:t>清洗用水：</w:t>
            </w:r>
            <w:r>
              <w:rPr>
                <w:rFonts w:hint="default" w:ascii="Times New Roman" w:hAnsi="Times New Roman" w:cs="Times New Roman"/>
                <w:b w:val="0"/>
                <w:bCs/>
                <w:color w:val="auto"/>
                <w:sz w:val="24"/>
                <w:szCs w:val="20"/>
              </w:rPr>
              <w:t>根据建设单位提供资料，本项目清洗</w:t>
            </w:r>
            <w:r>
              <w:rPr>
                <w:rFonts w:hint="default" w:ascii="Times New Roman" w:hAnsi="Times New Roman" w:cs="Times New Roman"/>
                <w:b w:val="0"/>
                <w:bCs/>
                <w:color w:val="auto"/>
                <w:sz w:val="24"/>
                <w:szCs w:val="20"/>
                <w:lang w:eastAsia="zh-CN"/>
              </w:rPr>
              <w:t>用</w:t>
            </w:r>
            <w:r>
              <w:rPr>
                <w:rFonts w:hint="default" w:ascii="Times New Roman" w:hAnsi="Times New Roman" w:cs="Times New Roman"/>
                <w:b w:val="0"/>
                <w:bCs/>
                <w:color w:val="auto"/>
                <w:sz w:val="24"/>
                <w:szCs w:val="20"/>
              </w:rPr>
              <w:t>水量</w:t>
            </w:r>
            <w:r>
              <w:rPr>
                <w:rFonts w:hint="default" w:ascii="Times New Roman" w:hAnsi="Times New Roman" w:cs="Times New Roman"/>
                <w:b w:val="0"/>
                <w:bCs/>
                <w:color w:val="auto"/>
                <w:sz w:val="24"/>
                <w:szCs w:val="20"/>
                <w:highlight w:val="none"/>
              </w:rPr>
              <w:t>为</w:t>
            </w:r>
            <w:r>
              <w:rPr>
                <w:rFonts w:hint="default" w:ascii="Times New Roman" w:hAnsi="Times New Roman" w:cs="Times New Roman"/>
                <w:b w:val="0"/>
                <w:bCs/>
                <w:color w:val="auto"/>
                <w:sz w:val="24"/>
                <w:szCs w:val="20"/>
                <w:highlight w:val="none"/>
                <w:lang w:val="en-US" w:eastAsia="zh-CN"/>
              </w:rPr>
              <w:t>30</w:t>
            </w:r>
            <w:r>
              <w:rPr>
                <w:rFonts w:hint="default" w:ascii="Times New Roman" w:hAnsi="Times New Roman" w:cs="Times New Roman"/>
                <w:b w:val="0"/>
                <w:bCs/>
                <w:color w:val="auto"/>
                <w:sz w:val="24"/>
                <w:szCs w:val="20"/>
                <w:highlight w:val="none"/>
              </w:rPr>
              <w:t>m³/d。</w:t>
            </w:r>
          </w:p>
          <w:p>
            <w:pPr>
              <w:pStyle w:val="45"/>
              <w:spacing w:line="360" w:lineRule="auto"/>
              <w:rPr>
                <w:rFonts w:hint="default" w:ascii="Times New Roman" w:hAnsi="Times New Roman" w:eastAsia="宋体" w:cs="Times New Roman"/>
                <w:b w:val="0"/>
                <w:bCs/>
                <w:color w:val="auto"/>
                <w:sz w:val="24"/>
                <w:lang w:eastAsia="zh-CN"/>
              </w:rPr>
            </w:pPr>
            <w:r>
              <w:rPr>
                <w:rFonts w:hint="default" w:ascii="Times New Roman" w:hAnsi="Times New Roman" w:cs="Times New Roman"/>
                <w:b w:val="0"/>
                <w:bCs/>
                <w:color w:val="auto"/>
                <w:sz w:val="24"/>
                <w:lang w:eastAsia="zh-CN"/>
              </w:rPr>
              <w:t>③高</w:t>
            </w:r>
            <w:r>
              <w:rPr>
                <w:rFonts w:hint="default" w:ascii="Times New Roman" w:hAnsi="Times New Roman" w:cs="Times New Roman"/>
                <w:b w:val="0"/>
                <w:bCs/>
                <w:color w:val="auto"/>
                <w:sz w:val="24"/>
                <w:highlight w:val="none"/>
                <w:lang w:eastAsia="zh-CN"/>
              </w:rPr>
              <w:t>温杀菌用水：</w:t>
            </w:r>
            <w:r>
              <w:rPr>
                <w:rFonts w:hint="default" w:ascii="Times New Roman" w:hAnsi="Times New Roman" w:cs="Times New Roman"/>
                <w:b w:val="0"/>
                <w:bCs/>
                <w:color w:val="auto"/>
                <w:sz w:val="24"/>
                <w:szCs w:val="20"/>
                <w:highlight w:val="none"/>
              </w:rPr>
              <w:t>根据建设单位提供资料，</w:t>
            </w:r>
            <w:r>
              <w:rPr>
                <w:rFonts w:hint="default" w:ascii="Times New Roman" w:hAnsi="Times New Roman" w:cs="Times New Roman"/>
                <w:b w:val="0"/>
                <w:bCs/>
                <w:color w:val="auto"/>
                <w:sz w:val="24"/>
                <w:lang w:eastAsia="zh-CN"/>
              </w:rPr>
              <w:t>高</w:t>
            </w:r>
            <w:r>
              <w:rPr>
                <w:rFonts w:hint="default" w:ascii="Times New Roman" w:hAnsi="Times New Roman" w:cs="Times New Roman"/>
                <w:b w:val="0"/>
                <w:bCs/>
                <w:color w:val="auto"/>
                <w:sz w:val="24"/>
                <w:highlight w:val="none"/>
                <w:lang w:eastAsia="zh-CN"/>
              </w:rPr>
              <w:t>温杀菌用水循环使用不外排，定期补水，循环量为</w:t>
            </w:r>
            <w:r>
              <w:rPr>
                <w:rFonts w:hint="default" w:ascii="Times New Roman" w:hAnsi="Times New Roman" w:cs="Times New Roman"/>
                <w:b w:val="0"/>
                <w:bCs/>
                <w:color w:val="auto"/>
                <w:sz w:val="24"/>
                <w:highlight w:val="none"/>
                <w:lang w:val="en-US" w:eastAsia="zh-CN"/>
              </w:rPr>
              <w:t>63</w:t>
            </w:r>
            <w:r>
              <w:rPr>
                <w:rFonts w:hint="default" w:ascii="Times New Roman" w:hAnsi="Times New Roman" w:cs="Times New Roman"/>
                <w:b w:val="0"/>
                <w:bCs/>
                <w:color w:val="auto"/>
                <w:sz w:val="24"/>
                <w:szCs w:val="20"/>
                <w:highlight w:val="none"/>
              </w:rPr>
              <w:t>m³</w:t>
            </w:r>
            <w:r>
              <w:rPr>
                <w:rFonts w:hint="default" w:ascii="Times New Roman" w:hAnsi="Times New Roman" w:cs="Times New Roman"/>
                <w:b w:val="0"/>
                <w:bCs/>
                <w:color w:val="auto"/>
                <w:sz w:val="24"/>
                <w:szCs w:val="20"/>
                <w:highlight w:val="none"/>
                <w:lang w:eastAsia="zh-CN"/>
              </w:rPr>
              <w:t>，补水量为</w:t>
            </w:r>
            <w:r>
              <w:rPr>
                <w:rFonts w:hint="default" w:ascii="Times New Roman" w:hAnsi="Times New Roman" w:cs="Times New Roman"/>
                <w:b w:val="0"/>
                <w:bCs/>
                <w:color w:val="auto"/>
                <w:sz w:val="24"/>
                <w:highlight w:val="none"/>
                <w:lang w:val="en-US" w:eastAsia="zh-CN"/>
              </w:rPr>
              <w:t>6.3</w:t>
            </w:r>
            <w:r>
              <w:rPr>
                <w:rFonts w:hint="default" w:ascii="Times New Roman" w:hAnsi="Times New Roman" w:cs="Times New Roman"/>
                <w:b w:val="0"/>
                <w:bCs/>
                <w:color w:val="auto"/>
                <w:sz w:val="24"/>
                <w:szCs w:val="20"/>
                <w:highlight w:val="none"/>
              </w:rPr>
              <w:t>m³</w:t>
            </w:r>
            <w:r>
              <w:rPr>
                <w:rFonts w:hint="default" w:ascii="Times New Roman" w:hAnsi="Times New Roman" w:cs="Times New Roman"/>
                <w:b w:val="0"/>
                <w:bCs/>
                <w:color w:val="auto"/>
                <w:sz w:val="24"/>
                <w:szCs w:val="20"/>
                <w:highlight w:val="none"/>
                <w:lang w:val="en-US" w:eastAsia="zh-CN"/>
              </w:rPr>
              <w:t>/a</w:t>
            </w:r>
            <w:r>
              <w:rPr>
                <w:rFonts w:hint="default" w:ascii="Times New Roman" w:hAnsi="Times New Roman" w:cs="Times New Roman"/>
                <w:b w:val="0"/>
                <w:bCs/>
                <w:color w:val="auto"/>
                <w:sz w:val="24"/>
                <w:szCs w:val="20"/>
                <w:highlight w:val="none"/>
                <w:lang w:eastAsia="zh-CN"/>
              </w:rPr>
              <w:t>，</w:t>
            </w:r>
            <w:r>
              <w:rPr>
                <w:rFonts w:hint="default" w:ascii="Times New Roman" w:hAnsi="Times New Roman" w:cs="Times New Roman"/>
                <w:b w:val="0"/>
                <w:bCs/>
                <w:color w:val="auto"/>
                <w:sz w:val="24"/>
                <w:szCs w:val="20"/>
                <w:highlight w:val="none"/>
                <w:lang w:val="en-US" w:eastAsia="zh-CN"/>
              </w:rPr>
              <w:t>0.105</w:t>
            </w:r>
            <w:r>
              <w:rPr>
                <w:rFonts w:hint="default" w:ascii="Times New Roman" w:hAnsi="Times New Roman" w:cs="Times New Roman"/>
                <w:b w:val="0"/>
                <w:bCs/>
                <w:color w:val="auto"/>
                <w:sz w:val="24"/>
                <w:szCs w:val="20"/>
                <w:highlight w:val="none"/>
              </w:rPr>
              <w:t>m³</w:t>
            </w:r>
            <w:r>
              <w:rPr>
                <w:rFonts w:hint="default" w:ascii="Times New Roman" w:hAnsi="Times New Roman" w:cs="Times New Roman"/>
                <w:b w:val="0"/>
                <w:bCs/>
                <w:color w:val="auto"/>
                <w:sz w:val="24"/>
                <w:szCs w:val="20"/>
                <w:highlight w:val="none"/>
                <w:lang w:val="en-US" w:eastAsia="zh-CN"/>
              </w:rPr>
              <w:t>/d</w:t>
            </w:r>
            <w:r>
              <w:rPr>
                <w:rFonts w:hint="default" w:ascii="Times New Roman" w:hAnsi="Times New Roman" w:cs="Times New Roman"/>
                <w:b w:val="0"/>
                <w:bCs/>
                <w:color w:val="auto"/>
                <w:sz w:val="24"/>
                <w:highlight w:val="none"/>
                <w:lang w:eastAsia="zh-CN"/>
              </w:rPr>
              <w:t>。</w:t>
            </w:r>
          </w:p>
          <w:p>
            <w:pPr>
              <w:pStyle w:val="2"/>
              <w:spacing w:before="0" w:after="0" w:line="360" w:lineRule="auto"/>
              <w:ind w:right="0" w:firstLine="480" w:firstLineChars="200"/>
              <w:rPr>
                <w:rFonts w:hint="default" w:ascii="Times New Roman" w:hAnsi="Times New Roman" w:cs="Times New Roman"/>
                <w:b w:val="0"/>
                <w:bCs/>
                <w:color w:val="auto"/>
                <w:kern w:val="2"/>
                <w:sz w:val="24"/>
              </w:rPr>
            </w:pPr>
            <w:r>
              <w:rPr>
                <w:rFonts w:hint="default" w:ascii="Times New Roman" w:hAnsi="Times New Roman" w:cs="Times New Roman"/>
                <w:b w:val="0"/>
                <w:bCs/>
                <w:color w:val="auto"/>
                <w:sz w:val="24"/>
                <w:lang w:eastAsia="zh-CN"/>
              </w:rPr>
              <w:t>④</w:t>
            </w:r>
            <w:r>
              <w:rPr>
                <w:rFonts w:hint="default" w:ascii="Times New Roman" w:hAnsi="Times New Roman" w:cs="Times New Roman"/>
                <w:b w:val="0"/>
                <w:bCs/>
                <w:color w:val="auto"/>
                <w:kern w:val="2"/>
                <w:sz w:val="24"/>
              </w:rPr>
              <w:t>锅炉用水：</w:t>
            </w:r>
          </w:p>
          <w:p>
            <w:pPr>
              <w:pStyle w:val="2"/>
              <w:spacing w:before="0" w:after="0" w:line="360" w:lineRule="auto"/>
              <w:ind w:right="0"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锅炉用水由</w:t>
            </w:r>
            <w:r>
              <w:rPr>
                <w:rFonts w:hint="default" w:ascii="Times New Roman" w:hAnsi="Times New Roman" w:cs="Times New Roman"/>
                <w:b w:val="0"/>
                <w:bCs/>
                <w:color w:val="auto"/>
                <w:sz w:val="24"/>
                <w:lang w:val="en-US" w:eastAsia="zh-CN"/>
              </w:rPr>
              <w:t>市政管网</w:t>
            </w:r>
            <w:r>
              <w:rPr>
                <w:rFonts w:hint="default" w:ascii="Times New Roman" w:hAnsi="Times New Roman" w:eastAsia="宋体" w:cs="Times New Roman"/>
                <w:b w:val="0"/>
                <w:bCs/>
                <w:color w:val="auto"/>
                <w:sz w:val="24"/>
                <w:lang w:val="en-US" w:eastAsia="zh-CN"/>
              </w:rPr>
              <w:t>供给</w:t>
            </w:r>
            <w:r>
              <w:rPr>
                <w:rFonts w:hint="default" w:ascii="Times New Roman" w:hAnsi="Times New Roman" w:eastAsia="宋体" w:cs="Times New Roman"/>
                <w:b w:val="0"/>
                <w:bCs/>
                <w:color w:val="auto"/>
                <w:sz w:val="24"/>
                <w:szCs w:val="24"/>
              </w:rPr>
              <w:t>。软化水处理装置</w:t>
            </w:r>
            <w:r>
              <w:rPr>
                <w:rFonts w:hint="default" w:ascii="Times New Roman" w:hAnsi="Times New Roman" w:cs="Times New Roman"/>
                <w:b w:val="0"/>
                <w:bCs/>
                <w:color w:val="auto"/>
                <w:sz w:val="24"/>
                <w:szCs w:val="24"/>
                <w:lang w:eastAsia="zh-CN"/>
              </w:rPr>
              <w:t>为离子交换树脂</w:t>
            </w:r>
            <w:r>
              <w:rPr>
                <w:rFonts w:hint="default" w:ascii="Times New Roman" w:hAnsi="Times New Roman" w:eastAsia="宋体" w:cs="Times New Roman"/>
                <w:b w:val="0"/>
                <w:bCs/>
                <w:color w:val="auto"/>
                <w:sz w:val="24"/>
                <w:szCs w:val="24"/>
              </w:rPr>
              <w:t>，处理</w:t>
            </w:r>
            <w:r>
              <w:rPr>
                <w:rFonts w:hint="default" w:ascii="Times New Roman" w:hAnsi="Times New Roman" w:cs="Times New Roman"/>
                <w:b w:val="0"/>
                <w:bCs/>
                <w:color w:val="auto"/>
                <w:sz w:val="24"/>
                <w:szCs w:val="24"/>
                <w:lang w:eastAsia="zh-CN"/>
              </w:rPr>
              <w:t>能力</w:t>
            </w:r>
            <w:r>
              <w:rPr>
                <w:rFonts w:hint="default" w:ascii="Times New Roman" w:hAnsi="Times New Roman" w:cs="Times New Roman"/>
                <w:b w:val="0"/>
                <w:bCs/>
                <w:color w:val="auto"/>
                <w:sz w:val="24"/>
                <w:szCs w:val="24"/>
                <w:lang w:val="en-US" w:eastAsia="zh-CN"/>
              </w:rPr>
              <w:t>60</w:t>
            </w:r>
            <w:r>
              <w:rPr>
                <w:rFonts w:hint="default" w:ascii="Times New Roman" w:hAnsi="Times New Roman" w:eastAsia="宋体" w:cs="Times New Roman"/>
                <w:b w:val="0"/>
                <w:bCs/>
                <w:color w:val="auto"/>
                <w:sz w:val="24"/>
                <w:szCs w:val="24"/>
              </w:rPr>
              <w:t>m</w:t>
            </w:r>
            <w:r>
              <w:rPr>
                <w:rFonts w:hint="default" w:ascii="Times New Roman" w:hAnsi="Times New Roman" w:eastAsia="宋体" w:cs="Times New Roman"/>
                <w:b w:val="0"/>
                <w:bCs/>
                <w:color w:val="auto"/>
                <w:sz w:val="24"/>
                <w:szCs w:val="24"/>
                <w:vertAlign w:val="superscript"/>
              </w:rPr>
              <w:t>3</w:t>
            </w:r>
            <w:r>
              <w:rPr>
                <w:rFonts w:hint="default" w:ascii="Times New Roman" w:hAnsi="Times New Roman" w:eastAsia="宋体" w:cs="Times New Roman"/>
                <w:b w:val="0"/>
                <w:bCs/>
                <w:color w:val="auto"/>
                <w:sz w:val="24"/>
                <w:szCs w:val="24"/>
              </w:rPr>
              <w:t>/h。</w:t>
            </w:r>
          </w:p>
          <w:p>
            <w:pPr>
              <w:pStyle w:val="2"/>
              <w:spacing w:before="0" w:after="0" w:line="360" w:lineRule="auto"/>
              <w:ind w:right="0" w:firstLine="480" w:firstLineChars="200"/>
              <w:rPr>
                <w:rFonts w:hint="default" w:ascii="Times New Roman" w:hAnsi="Times New Roman" w:cs="Times New Roman"/>
                <w:b w:val="0"/>
                <w:bCs/>
                <w:color w:val="auto"/>
                <w:kern w:val="2"/>
                <w:sz w:val="24"/>
                <w:szCs w:val="24"/>
                <w:lang w:val="en-US" w:eastAsia="zh-CN"/>
              </w:rPr>
            </w:pPr>
            <w:r>
              <w:rPr>
                <w:rFonts w:hint="default" w:ascii="Times New Roman" w:hAnsi="Times New Roman" w:cs="Times New Roman"/>
                <w:b w:val="0"/>
                <w:bCs/>
                <w:color w:val="auto"/>
                <w:sz w:val="24"/>
                <w:szCs w:val="24"/>
                <w:lang w:eastAsia="zh-CN"/>
              </w:rPr>
              <w:t>本</w:t>
            </w:r>
            <w:r>
              <w:rPr>
                <w:rFonts w:hint="default" w:ascii="Times New Roman" w:hAnsi="Times New Roman" w:cs="Times New Roman"/>
                <w:b w:val="0"/>
                <w:bCs/>
                <w:color w:val="auto"/>
                <w:sz w:val="24"/>
                <w:szCs w:val="24"/>
              </w:rPr>
              <w:t>项目鲜食玉米生产过程中由</w:t>
            </w:r>
            <w:r>
              <w:rPr>
                <w:rFonts w:hint="eastAsia" w:cs="Times New Roman"/>
                <w:b w:val="0"/>
                <w:bCs/>
                <w:color w:val="auto"/>
                <w:kern w:val="2"/>
                <w:sz w:val="24"/>
                <w:szCs w:val="24"/>
                <w:lang w:val="en-US" w:eastAsia="zh-CN"/>
              </w:rPr>
              <w:t>4t/h、6t/h</w:t>
            </w:r>
            <w:r>
              <w:rPr>
                <w:rFonts w:hint="default" w:ascii="Times New Roman" w:hAnsi="Times New Roman" w:cs="Times New Roman"/>
                <w:b w:val="0"/>
                <w:bCs/>
                <w:color w:val="auto"/>
                <w:kern w:val="2"/>
                <w:sz w:val="24"/>
                <w:szCs w:val="24"/>
                <w:lang w:val="en-US" w:eastAsia="zh-CN"/>
              </w:rPr>
              <w:t>燃生物质蒸汽锅炉</w:t>
            </w:r>
            <w:r>
              <w:rPr>
                <w:rFonts w:hint="default" w:ascii="Times New Roman" w:hAnsi="Times New Roman" w:cs="Times New Roman"/>
                <w:b w:val="0"/>
                <w:bCs/>
                <w:color w:val="auto"/>
                <w:sz w:val="24"/>
                <w:szCs w:val="24"/>
              </w:rPr>
              <w:t>供应蒸汽蒸熟玉米，消耗</w:t>
            </w:r>
            <w:r>
              <w:rPr>
                <w:rFonts w:hint="default" w:ascii="Times New Roman" w:hAnsi="Times New Roman" w:cs="Times New Roman"/>
                <w:b w:val="0"/>
                <w:bCs/>
                <w:color w:val="auto"/>
                <w:sz w:val="24"/>
                <w:szCs w:val="24"/>
                <w:lang w:eastAsia="zh-CN"/>
              </w:rPr>
              <w:t>蒸汽</w:t>
            </w:r>
            <w:r>
              <w:rPr>
                <w:rFonts w:hint="default" w:ascii="Times New Roman" w:hAnsi="Times New Roman" w:cs="Times New Roman"/>
                <w:b w:val="0"/>
                <w:bCs/>
                <w:color w:val="auto"/>
                <w:sz w:val="24"/>
                <w:szCs w:val="24"/>
              </w:rPr>
              <w:t>量为</w:t>
            </w:r>
            <w:r>
              <w:rPr>
                <w:rFonts w:hint="eastAsia" w:cs="Times New Roman"/>
                <w:b w:val="0"/>
                <w:bCs/>
                <w:color w:val="auto"/>
                <w:sz w:val="24"/>
                <w:szCs w:val="24"/>
                <w:lang w:val="en-US" w:eastAsia="zh-CN"/>
              </w:rPr>
              <w:t>10t/h</w:t>
            </w:r>
            <w:r>
              <w:rPr>
                <w:rFonts w:hint="default" w:ascii="Times New Roman" w:hAnsi="Times New Roman" w:eastAsia="宋体" w:cs="Times New Roman"/>
                <w:b w:val="0"/>
                <w:bCs/>
                <w:color w:val="auto"/>
                <w:sz w:val="24"/>
                <w:szCs w:val="24"/>
              </w:rPr>
              <w:t>（</w:t>
            </w:r>
            <w:r>
              <w:rPr>
                <w:rFonts w:hint="eastAsia" w:cs="Times New Roman"/>
                <w:b w:val="0"/>
                <w:bCs/>
                <w:color w:val="auto"/>
                <w:sz w:val="24"/>
                <w:szCs w:val="24"/>
                <w:lang w:val="en-US" w:eastAsia="zh-CN"/>
              </w:rPr>
              <w:t>100</w:t>
            </w:r>
            <w:r>
              <w:rPr>
                <w:rFonts w:hint="default" w:ascii="Times New Roman" w:hAnsi="Times New Roman" w:eastAsia="宋体" w:cs="Times New Roman"/>
                <w:b w:val="0"/>
                <w:bCs/>
                <w:color w:val="auto"/>
                <w:sz w:val="24"/>
                <w:szCs w:val="24"/>
              </w:rPr>
              <w:t>t/d）</w:t>
            </w:r>
            <w:r>
              <w:rPr>
                <w:rFonts w:hint="default" w:ascii="Times New Roman" w:hAnsi="Times New Roman" w:cs="Times New Roman"/>
                <w:b w:val="0"/>
                <w:bCs/>
                <w:color w:val="auto"/>
                <w:sz w:val="24"/>
                <w:szCs w:val="24"/>
              </w:rPr>
              <w:t>，则</w:t>
            </w:r>
            <w:r>
              <w:rPr>
                <w:rFonts w:hint="default" w:ascii="Times New Roman" w:hAnsi="Times New Roman" w:cs="Times New Roman"/>
                <w:b w:val="0"/>
                <w:bCs/>
                <w:color w:val="auto"/>
                <w:sz w:val="24"/>
                <w:szCs w:val="24"/>
                <w:lang w:eastAsia="zh-CN"/>
              </w:rPr>
              <w:t>锅</w:t>
            </w:r>
            <w:r>
              <w:rPr>
                <w:rFonts w:hint="default" w:ascii="Times New Roman" w:hAnsi="Times New Roman" w:cs="Times New Roman"/>
                <w:b w:val="0"/>
                <w:bCs/>
                <w:color w:val="auto"/>
                <w:sz w:val="24"/>
                <w:szCs w:val="24"/>
              </w:rPr>
              <w:t>炉补水量为</w:t>
            </w:r>
            <w:r>
              <w:rPr>
                <w:rFonts w:hint="eastAsia" w:cs="Times New Roman"/>
                <w:b w:val="0"/>
                <w:bCs/>
                <w:color w:val="auto"/>
                <w:sz w:val="24"/>
                <w:szCs w:val="24"/>
                <w:lang w:val="en-US" w:eastAsia="zh-CN"/>
              </w:rPr>
              <w:t>10t/h</w:t>
            </w:r>
            <w:r>
              <w:rPr>
                <w:rFonts w:hint="default" w:ascii="Times New Roman" w:hAnsi="Times New Roman" w:eastAsia="宋体" w:cs="Times New Roman"/>
                <w:b w:val="0"/>
                <w:bCs/>
                <w:color w:val="auto"/>
                <w:sz w:val="24"/>
                <w:szCs w:val="24"/>
              </w:rPr>
              <w:t>（</w:t>
            </w:r>
            <w:r>
              <w:rPr>
                <w:rFonts w:hint="eastAsia" w:cs="Times New Roman"/>
                <w:b w:val="0"/>
                <w:bCs/>
                <w:color w:val="auto"/>
                <w:sz w:val="24"/>
                <w:szCs w:val="24"/>
                <w:lang w:val="en-US" w:eastAsia="zh-CN"/>
              </w:rPr>
              <w:t>100</w:t>
            </w:r>
            <w:r>
              <w:rPr>
                <w:rFonts w:hint="default" w:ascii="Times New Roman" w:hAnsi="Times New Roman" w:eastAsia="宋体" w:cs="Times New Roman"/>
                <w:b w:val="0"/>
                <w:bCs/>
                <w:color w:val="auto"/>
                <w:sz w:val="24"/>
                <w:szCs w:val="24"/>
              </w:rPr>
              <w:t>t/d）</w:t>
            </w:r>
            <w:r>
              <w:rPr>
                <w:rFonts w:hint="default" w:ascii="Times New Roman" w:hAnsi="Times New Roman" w:cs="Times New Roman"/>
                <w:b w:val="0"/>
                <w:bCs/>
                <w:color w:val="auto"/>
                <w:sz w:val="24"/>
                <w:szCs w:val="24"/>
              </w:rPr>
              <w:t>。</w:t>
            </w:r>
            <w:r>
              <w:rPr>
                <w:rFonts w:hint="default" w:ascii="Times New Roman" w:hAnsi="Times New Roman" w:eastAsia="宋体" w:cs="Times New Roman"/>
                <w:b w:val="0"/>
                <w:bCs/>
                <w:color w:val="auto"/>
                <w:sz w:val="24"/>
                <w:szCs w:val="24"/>
              </w:rPr>
              <w:t>锅炉用水采用软化水处理</w:t>
            </w:r>
            <w:r>
              <w:rPr>
                <w:rFonts w:hint="default" w:ascii="Times New Roman" w:hAnsi="Times New Roman" w:eastAsia="宋体" w:cs="Times New Roman"/>
                <w:b w:val="0"/>
                <w:bCs/>
                <w:color w:val="auto"/>
                <w:sz w:val="24"/>
                <w:szCs w:val="24"/>
                <w:highlight w:val="none"/>
              </w:rPr>
              <w:t>装置进行水质软化处</w:t>
            </w:r>
            <w:r>
              <w:rPr>
                <w:rFonts w:hint="default" w:ascii="Times New Roman" w:hAnsi="Times New Roman" w:eastAsia="宋体" w:cs="Times New Roman"/>
                <w:b w:val="0"/>
                <w:bCs/>
                <w:color w:val="auto"/>
                <w:sz w:val="24"/>
                <w:szCs w:val="24"/>
              </w:rPr>
              <w:t>理，制水效率为</w:t>
            </w:r>
            <w:r>
              <w:rPr>
                <w:rFonts w:hint="default" w:ascii="Times New Roman" w:hAnsi="Times New Roman" w:eastAsia="宋体" w:cs="Times New Roman"/>
                <w:b w:val="0"/>
                <w:bCs/>
                <w:color w:val="auto"/>
                <w:sz w:val="24"/>
                <w:szCs w:val="24"/>
                <w:lang w:val="en-US" w:eastAsia="zh-CN"/>
              </w:rPr>
              <w:t>84</w:t>
            </w:r>
            <w:r>
              <w:rPr>
                <w:rFonts w:hint="default" w:ascii="Times New Roman" w:hAnsi="Times New Roman" w:eastAsia="宋体" w:cs="Times New Roman"/>
                <w:b w:val="0"/>
                <w:bCs/>
                <w:color w:val="auto"/>
                <w:sz w:val="24"/>
                <w:szCs w:val="24"/>
              </w:rPr>
              <w:t>%。本项目软化水制备用水为</w:t>
            </w:r>
            <w:r>
              <w:rPr>
                <w:rFonts w:hint="eastAsia" w:cs="Times New Roman"/>
                <w:b w:val="0"/>
                <w:bCs/>
                <w:color w:val="auto"/>
                <w:sz w:val="24"/>
                <w:szCs w:val="24"/>
                <w:lang w:val="en-US" w:eastAsia="zh-CN"/>
              </w:rPr>
              <w:t>13.3</w:t>
            </w:r>
            <w:r>
              <w:rPr>
                <w:rFonts w:hint="default" w:ascii="Times New Roman" w:hAnsi="Times New Roman" w:eastAsia="宋体" w:cs="Times New Roman"/>
                <w:b w:val="0"/>
                <w:bCs/>
                <w:color w:val="auto"/>
                <w:sz w:val="24"/>
                <w:szCs w:val="24"/>
              </w:rPr>
              <w:t>t/h（</w:t>
            </w:r>
            <w:r>
              <w:rPr>
                <w:rFonts w:hint="eastAsia" w:cs="Times New Roman"/>
                <w:b w:val="0"/>
                <w:bCs/>
                <w:color w:val="auto"/>
                <w:sz w:val="24"/>
                <w:szCs w:val="24"/>
                <w:lang w:val="en-US" w:eastAsia="zh-CN"/>
              </w:rPr>
              <w:t>133</w:t>
            </w:r>
            <w:r>
              <w:rPr>
                <w:rFonts w:hint="default" w:ascii="Times New Roman" w:hAnsi="Times New Roman" w:eastAsia="宋体" w:cs="Times New Roman"/>
                <w:b w:val="0"/>
                <w:bCs/>
                <w:color w:val="auto"/>
                <w:sz w:val="24"/>
                <w:szCs w:val="24"/>
              </w:rPr>
              <w:t>t/d），锅炉用水为</w:t>
            </w:r>
            <w:r>
              <w:rPr>
                <w:rFonts w:hint="eastAsia" w:cs="Times New Roman"/>
                <w:b w:val="0"/>
                <w:bCs/>
                <w:color w:val="auto"/>
                <w:sz w:val="24"/>
                <w:szCs w:val="24"/>
                <w:lang w:val="en-US" w:eastAsia="zh-CN"/>
              </w:rPr>
              <w:t>11.2</w:t>
            </w:r>
            <w:r>
              <w:rPr>
                <w:rFonts w:hint="default" w:ascii="Times New Roman" w:hAnsi="Times New Roman" w:eastAsia="宋体" w:cs="Times New Roman"/>
                <w:b w:val="0"/>
                <w:bCs/>
                <w:color w:val="auto"/>
                <w:sz w:val="24"/>
                <w:szCs w:val="24"/>
              </w:rPr>
              <w:t>t/h（</w:t>
            </w:r>
            <w:r>
              <w:rPr>
                <w:rFonts w:hint="eastAsia" w:cs="Times New Roman"/>
                <w:b w:val="0"/>
                <w:bCs/>
                <w:color w:val="auto"/>
                <w:sz w:val="24"/>
                <w:szCs w:val="24"/>
                <w:lang w:val="en-US" w:eastAsia="zh-CN"/>
              </w:rPr>
              <w:t>112</w:t>
            </w:r>
            <w:r>
              <w:rPr>
                <w:rFonts w:hint="default" w:ascii="Times New Roman" w:hAnsi="Times New Roman" w:eastAsia="宋体" w:cs="Times New Roman"/>
                <w:b w:val="0"/>
                <w:bCs/>
                <w:color w:val="auto"/>
                <w:sz w:val="24"/>
                <w:szCs w:val="24"/>
              </w:rPr>
              <w:t>t/d），</w:t>
            </w:r>
            <w:r>
              <w:rPr>
                <w:rFonts w:hint="default" w:ascii="Times New Roman" w:hAnsi="Times New Roman" w:cs="Times New Roman"/>
                <w:b w:val="0"/>
                <w:bCs/>
                <w:color w:val="auto"/>
                <w:sz w:val="24"/>
                <w:szCs w:val="24"/>
                <w:lang w:eastAsia="zh-CN"/>
              </w:rPr>
              <w:t>软化处理废水</w:t>
            </w:r>
            <w:r>
              <w:rPr>
                <w:rFonts w:hint="default" w:ascii="Times New Roman" w:hAnsi="Times New Roman" w:eastAsia="宋体" w:cs="Times New Roman"/>
                <w:b w:val="0"/>
                <w:bCs/>
                <w:color w:val="auto"/>
                <w:sz w:val="24"/>
                <w:szCs w:val="24"/>
              </w:rPr>
              <w:t>排放量</w:t>
            </w:r>
            <w:r>
              <w:rPr>
                <w:rFonts w:hint="eastAsia"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t/h（</w:t>
            </w:r>
            <w:r>
              <w:rPr>
                <w:rFonts w:hint="eastAsia" w:cs="Times New Roman"/>
                <w:b w:val="0"/>
                <w:bCs/>
                <w:color w:val="auto"/>
                <w:sz w:val="24"/>
                <w:szCs w:val="24"/>
                <w:lang w:val="en-US" w:eastAsia="zh-CN"/>
              </w:rPr>
              <w:t>21</w:t>
            </w:r>
            <w:r>
              <w:rPr>
                <w:rFonts w:hint="default" w:ascii="Times New Roman" w:hAnsi="Times New Roman" w:eastAsia="宋体" w:cs="Times New Roman"/>
                <w:b w:val="0"/>
                <w:bCs/>
                <w:color w:val="auto"/>
                <w:sz w:val="24"/>
                <w:szCs w:val="24"/>
              </w:rPr>
              <w:t>t/d），</w:t>
            </w:r>
            <w:r>
              <w:rPr>
                <w:rFonts w:hint="default" w:ascii="Times New Roman" w:hAnsi="Times New Roman" w:cs="Times New Roman"/>
                <w:b w:val="0"/>
                <w:bCs/>
                <w:color w:val="auto"/>
                <w:sz w:val="24"/>
                <w:szCs w:val="24"/>
                <w:lang w:eastAsia="zh-CN"/>
              </w:rPr>
              <w:t>锅炉</w:t>
            </w:r>
            <w:r>
              <w:rPr>
                <w:rFonts w:hint="default" w:ascii="Times New Roman" w:hAnsi="Times New Roman" w:eastAsia="宋体" w:cs="Times New Roman"/>
                <w:b w:val="0"/>
                <w:bCs/>
                <w:color w:val="auto"/>
                <w:sz w:val="24"/>
                <w:szCs w:val="24"/>
              </w:rPr>
              <w:t>排污水量为</w:t>
            </w:r>
            <w:r>
              <w:rPr>
                <w:rFonts w:hint="eastAsia" w:cs="Times New Roman"/>
                <w:b w:val="0"/>
                <w:bCs/>
                <w:color w:val="auto"/>
                <w:sz w:val="24"/>
                <w:szCs w:val="24"/>
                <w:lang w:val="en-US" w:eastAsia="zh-CN"/>
              </w:rPr>
              <w:t>1.2</w:t>
            </w:r>
            <w:r>
              <w:rPr>
                <w:rFonts w:hint="default" w:ascii="Times New Roman" w:hAnsi="Times New Roman" w:eastAsia="宋体" w:cs="Times New Roman"/>
                <w:b w:val="0"/>
                <w:bCs/>
                <w:color w:val="auto"/>
                <w:sz w:val="24"/>
                <w:szCs w:val="24"/>
              </w:rPr>
              <w:t>t/h（</w:t>
            </w:r>
            <w:r>
              <w:rPr>
                <w:rFonts w:hint="eastAsia" w:cs="Times New Roman"/>
                <w:b w:val="0"/>
                <w:bCs/>
                <w:color w:val="auto"/>
                <w:sz w:val="24"/>
                <w:szCs w:val="24"/>
                <w:lang w:val="en-US" w:eastAsia="zh-CN"/>
              </w:rPr>
              <w:t>12</w:t>
            </w:r>
            <w:r>
              <w:rPr>
                <w:rFonts w:hint="default" w:ascii="Times New Roman" w:hAnsi="Times New Roman" w:eastAsia="宋体" w:cs="Times New Roman"/>
                <w:b w:val="0"/>
                <w:bCs/>
                <w:color w:val="auto"/>
                <w:sz w:val="24"/>
                <w:szCs w:val="24"/>
              </w:rPr>
              <w:t>t/d）。</w:t>
            </w:r>
          </w:p>
          <w:p>
            <w:pPr>
              <w:pStyle w:val="10"/>
              <w:adjustRightInd w:val="0"/>
              <w:snapToGrid w:val="0"/>
              <w:spacing w:after="0" w:line="360" w:lineRule="auto"/>
              <w:ind w:left="0" w:leftChars="0"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rPr>
              <w:t>（2）排水</w:t>
            </w:r>
          </w:p>
          <w:p>
            <w:pPr>
              <w:pStyle w:val="45"/>
              <w:spacing w:line="360" w:lineRule="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①生活污水</w:t>
            </w:r>
          </w:p>
          <w:p>
            <w:pPr>
              <w:pStyle w:val="45"/>
              <w:spacing w:line="360" w:lineRule="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本项目生活污水产生量按用水量的80%计，产生量为</w:t>
            </w:r>
            <w:r>
              <w:rPr>
                <w:rFonts w:hint="default" w:ascii="Times New Roman" w:hAnsi="Times New Roman" w:cs="Times New Roman"/>
                <w:b w:val="0"/>
                <w:bCs/>
                <w:color w:val="auto"/>
                <w:lang w:val="en-US" w:eastAsia="zh-CN"/>
              </w:rPr>
              <w:t>12.8</w:t>
            </w:r>
            <w:r>
              <w:rPr>
                <w:rFonts w:hint="default" w:ascii="Times New Roman" w:hAnsi="Times New Roman" w:cs="Times New Roman"/>
                <w:b w:val="0"/>
                <w:bCs/>
                <w:color w:val="auto"/>
                <w:lang w:val="zh-CN"/>
              </w:rPr>
              <w:t>t/d，</w:t>
            </w:r>
            <w:r>
              <w:rPr>
                <w:rFonts w:hint="default" w:ascii="Times New Roman" w:hAnsi="Times New Roman" w:cs="Times New Roman"/>
                <w:b w:val="0"/>
                <w:bCs/>
                <w:color w:val="auto"/>
                <w:lang w:val="en-US" w:eastAsia="zh-CN"/>
              </w:rPr>
              <w:t>768</w:t>
            </w:r>
            <w:r>
              <w:rPr>
                <w:rFonts w:hint="default" w:ascii="Times New Roman" w:hAnsi="Times New Roman" w:cs="Times New Roman"/>
                <w:b w:val="0"/>
                <w:bCs/>
                <w:color w:val="auto"/>
              </w:rPr>
              <w:t>t/a</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szCs w:val="21"/>
              </w:rPr>
              <w:t>生活污水排入防渗旱厕，定期清掏，外运堆肥</w:t>
            </w:r>
            <w:r>
              <w:rPr>
                <w:rFonts w:hint="default" w:ascii="Times New Roman" w:hAnsi="Times New Roman" w:cs="Times New Roman"/>
                <w:b w:val="0"/>
                <w:bCs/>
                <w:color w:val="auto"/>
                <w:szCs w:val="21"/>
                <w:lang w:eastAsia="zh-CN"/>
              </w:rPr>
              <w:t>。</w:t>
            </w:r>
          </w:p>
          <w:p>
            <w:pPr>
              <w:pStyle w:val="45"/>
              <w:spacing w:line="360" w:lineRule="auto"/>
              <w:rPr>
                <w:rFonts w:hint="default" w:ascii="Times New Roman" w:hAnsi="Times New Roman" w:cs="Times New Roman"/>
                <w:b w:val="0"/>
                <w:bCs/>
                <w:color w:val="auto"/>
              </w:rPr>
            </w:pPr>
            <w:r>
              <w:rPr>
                <w:rFonts w:hint="default" w:ascii="Times New Roman" w:hAnsi="Times New Roman" w:cs="Times New Roman"/>
                <w:b w:val="0"/>
                <w:bCs/>
                <w:color w:val="auto"/>
                <w:lang w:val="en-US" w:eastAsia="zh-CN"/>
              </w:rPr>
              <w:t>②</w:t>
            </w:r>
            <w:r>
              <w:rPr>
                <w:rFonts w:hint="default" w:ascii="Times New Roman" w:hAnsi="Times New Roman" w:cs="Times New Roman"/>
                <w:b w:val="0"/>
                <w:bCs/>
                <w:color w:val="auto"/>
              </w:rPr>
              <w:t>车间</w:t>
            </w:r>
            <w:r>
              <w:rPr>
                <w:rFonts w:hint="default" w:ascii="Times New Roman" w:hAnsi="Times New Roman" w:cs="Times New Roman"/>
                <w:b w:val="0"/>
                <w:bCs/>
                <w:color w:val="auto"/>
                <w:lang w:eastAsia="zh-CN"/>
              </w:rPr>
              <w:t>地面</w:t>
            </w:r>
            <w:r>
              <w:rPr>
                <w:rFonts w:hint="default" w:ascii="Times New Roman" w:hAnsi="Times New Roman" w:cs="Times New Roman"/>
                <w:b w:val="0"/>
                <w:bCs/>
                <w:color w:val="auto"/>
              </w:rPr>
              <w:t>冲洗废水</w:t>
            </w:r>
          </w:p>
          <w:p>
            <w:pPr>
              <w:pStyle w:val="45"/>
              <w:spacing w:line="360" w:lineRule="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车间</w:t>
            </w:r>
            <w:r>
              <w:rPr>
                <w:rFonts w:hint="default" w:ascii="Times New Roman" w:hAnsi="Times New Roman" w:cs="Times New Roman"/>
                <w:b w:val="0"/>
                <w:bCs/>
                <w:color w:val="auto"/>
                <w:lang w:eastAsia="zh-CN"/>
              </w:rPr>
              <w:t>地面</w:t>
            </w:r>
            <w:r>
              <w:rPr>
                <w:rFonts w:hint="default" w:ascii="Times New Roman" w:hAnsi="Times New Roman" w:cs="Times New Roman"/>
                <w:b w:val="0"/>
                <w:bCs/>
                <w:color w:val="auto"/>
              </w:rPr>
              <w:t>冲洗废水产生量按用水量的80%计</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则冲洗废水产生量为</w:t>
            </w:r>
            <w:r>
              <w:rPr>
                <w:rFonts w:hint="eastAsia" w:cs="Times New Roman"/>
                <w:b w:val="0"/>
                <w:bCs/>
                <w:color w:val="auto"/>
                <w:lang w:val="en-US" w:eastAsia="zh-CN"/>
              </w:rPr>
              <w:t>4</w:t>
            </w:r>
            <w:r>
              <w:rPr>
                <w:rFonts w:hint="default" w:ascii="Times New Roman" w:hAnsi="Times New Roman" w:cs="Times New Roman"/>
                <w:b w:val="0"/>
                <w:bCs/>
                <w:color w:val="auto"/>
                <w:lang w:val="zh-CN"/>
              </w:rPr>
              <w:t>t/d，</w:t>
            </w:r>
            <w:r>
              <w:rPr>
                <w:rFonts w:hint="eastAsia" w:cs="Times New Roman"/>
                <w:b w:val="0"/>
                <w:bCs/>
                <w:color w:val="auto"/>
                <w:lang w:val="en-US" w:eastAsia="zh-CN"/>
              </w:rPr>
              <w:t>240</w:t>
            </w:r>
            <w:r>
              <w:rPr>
                <w:rFonts w:hint="default" w:ascii="Times New Roman" w:hAnsi="Times New Roman" w:cs="Times New Roman"/>
                <w:b w:val="0"/>
                <w:bCs/>
                <w:color w:val="auto"/>
              </w:rPr>
              <w:t>t/a</w:t>
            </w:r>
            <w:r>
              <w:rPr>
                <w:rFonts w:hint="default" w:ascii="Times New Roman" w:hAnsi="Times New Roman" w:cs="Times New Roman"/>
                <w:b w:val="0"/>
                <w:bCs/>
                <w:color w:val="auto"/>
                <w:lang w:eastAsia="zh-CN"/>
              </w:rPr>
              <w:t>。</w:t>
            </w:r>
          </w:p>
          <w:p>
            <w:pPr>
              <w:pStyle w:val="45"/>
              <w:spacing w:line="360" w:lineRule="auto"/>
              <w:rPr>
                <w:rFonts w:hint="default" w:ascii="Times New Roman" w:hAnsi="Times New Roman" w:cs="Times New Roman"/>
                <w:b w:val="0"/>
                <w:bCs/>
                <w:color w:val="auto"/>
                <w:sz w:val="24"/>
                <w:lang w:eastAsia="zh-CN"/>
              </w:rPr>
            </w:pPr>
            <w:r>
              <w:rPr>
                <w:rFonts w:hint="default" w:ascii="Times New Roman" w:hAnsi="Times New Roman" w:cs="Times New Roman"/>
                <w:b w:val="0"/>
                <w:bCs/>
                <w:color w:val="auto"/>
                <w:sz w:val="24"/>
                <w:lang w:val="en-US" w:eastAsia="zh-CN"/>
              </w:rPr>
              <w:t>③</w:t>
            </w:r>
            <w:r>
              <w:rPr>
                <w:rFonts w:hint="default" w:ascii="Times New Roman" w:hAnsi="Times New Roman" w:cs="Times New Roman"/>
                <w:b w:val="0"/>
                <w:bCs/>
                <w:color w:val="auto"/>
                <w:sz w:val="24"/>
              </w:rPr>
              <w:t>清洗</w:t>
            </w:r>
            <w:r>
              <w:rPr>
                <w:rFonts w:hint="default" w:ascii="Times New Roman" w:hAnsi="Times New Roman" w:cs="Times New Roman"/>
                <w:b w:val="0"/>
                <w:bCs/>
                <w:color w:val="auto"/>
                <w:sz w:val="24"/>
                <w:lang w:eastAsia="zh-CN"/>
              </w:rPr>
              <w:t>废水</w:t>
            </w:r>
          </w:p>
          <w:p>
            <w:pPr>
              <w:pStyle w:val="45"/>
              <w:spacing w:line="360" w:lineRule="auto"/>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sz w:val="24"/>
                <w:lang w:eastAsia="zh-CN"/>
              </w:rPr>
              <w:t>清洗废水</w:t>
            </w:r>
            <w:r>
              <w:rPr>
                <w:rFonts w:hint="default" w:ascii="Times New Roman" w:hAnsi="Times New Roman" w:cs="Times New Roman"/>
                <w:b w:val="0"/>
                <w:bCs/>
                <w:color w:val="auto"/>
                <w:sz w:val="24"/>
              </w:rPr>
              <w:t>产生量按用水量的80%计，则</w:t>
            </w:r>
            <w:r>
              <w:rPr>
                <w:rFonts w:hint="default" w:ascii="Times New Roman" w:hAnsi="Times New Roman" w:cs="Times New Roman"/>
                <w:b w:val="0"/>
                <w:bCs/>
                <w:color w:val="auto"/>
                <w:sz w:val="24"/>
                <w:lang w:eastAsia="zh-CN"/>
              </w:rPr>
              <w:t>清洗废水</w:t>
            </w:r>
            <w:r>
              <w:rPr>
                <w:rFonts w:hint="default" w:ascii="Times New Roman" w:hAnsi="Times New Roman" w:cs="Times New Roman"/>
                <w:b w:val="0"/>
                <w:bCs/>
                <w:color w:val="auto"/>
                <w:sz w:val="24"/>
              </w:rPr>
              <w:t>产生量为</w:t>
            </w:r>
            <w:r>
              <w:rPr>
                <w:rFonts w:hint="default" w:ascii="Times New Roman" w:hAnsi="Times New Roman" w:cs="Times New Roman"/>
                <w:b w:val="0"/>
                <w:bCs/>
                <w:color w:val="auto"/>
                <w:sz w:val="24"/>
                <w:lang w:val="en-US" w:eastAsia="zh-CN"/>
              </w:rPr>
              <w:t>24</w:t>
            </w:r>
            <w:r>
              <w:rPr>
                <w:rFonts w:hint="default" w:ascii="Times New Roman" w:hAnsi="Times New Roman" w:cs="Times New Roman"/>
                <w:b w:val="0"/>
                <w:bCs/>
                <w:color w:val="auto"/>
                <w:sz w:val="24"/>
              </w:rPr>
              <w:t>t/d，</w:t>
            </w:r>
            <w:r>
              <w:rPr>
                <w:rFonts w:hint="default" w:ascii="Times New Roman" w:hAnsi="Times New Roman" w:cs="Times New Roman"/>
                <w:b w:val="0"/>
                <w:bCs/>
                <w:color w:val="auto"/>
                <w:sz w:val="24"/>
                <w:lang w:val="en-US" w:eastAsia="zh-CN"/>
              </w:rPr>
              <w:t>1440</w:t>
            </w:r>
            <w:r>
              <w:rPr>
                <w:rFonts w:hint="default" w:ascii="Times New Roman" w:hAnsi="Times New Roman" w:cs="Times New Roman"/>
                <w:b w:val="0"/>
                <w:bCs/>
                <w:color w:val="auto"/>
                <w:sz w:val="24"/>
              </w:rPr>
              <w:t>t/a</w:t>
            </w:r>
            <w:r>
              <w:rPr>
                <w:rFonts w:hint="default" w:ascii="Times New Roman" w:hAnsi="Times New Roman" w:cs="Times New Roman"/>
                <w:b w:val="0"/>
                <w:bCs/>
                <w:color w:val="auto"/>
                <w:sz w:val="24"/>
                <w:lang w:eastAsia="zh-CN"/>
              </w:rPr>
              <w:t>。</w:t>
            </w:r>
          </w:p>
          <w:p>
            <w:pPr>
              <w:pStyle w:val="45"/>
              <w:spacing w:line="360" w:lineRule="auto"/>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lang w:val="en-US" w:eastAsia="zh-CN"/>
              </w:rPr>
              <w:t>④</w:t>
            </w:r>
            <w:r>
              <w:rPr>
                <w:rFonts w:hint="default" w:ascii="Times New Roman" w:hAnsi="Times New Roman" w:cs="Times New Roman"/>
                <w:b w:val="0"/>
                <w:bCs/>
                <w:color w:val="auto"/>
                <w:sz w:val="24"/>
                <w:szCs w:val="24"/>
              </w:rPr>
              <w:t>锅炉排污水和软化处理废水</w:t>
            </w:r>
          </w:p>
          <w:p>
            <w:pPr>
              <w:pStyle w:val="45"/>
              <w:spacing w:line="360" w:lineRule="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rPr>
              <w:t>根据物料平衡，本项目</w:t>
            </w:r>
            <w:r>
              <w:rPr>
                <w:rFonts w:hint="default" w:ascii="Times New Roman" w:hAnsi="Times New Roman" w:cs="Times New Roman"/>
                <w:b w:val="0"/>
                <w:bCs/>
                <w:color w:val="auto"/>
                <w:sz w:val="24"/>
                <w:szCs w:val="24"/>
                <w:lang w:eastAsia="zh-CN"/>
              </w:rPr>
              <w:t>软化处理废水</w:t>
            </w:r>
            <w:r>
              <w:rPr>
                <w:rFonts w:hint="default" w:ascii="Times New Roman" w:hAnsi="Times New Roman" w:cs="Times New Roman"/>
                <w:b w:val="0"/>
                <w:bCs/>
                <w:color w:val="auto"/>
                <w:sz w:val="24"/>
                <w:szCs w:val="24"/>
              </w:rPr>
              <w:t>排放量</w:t>
            </w:r>
            <w:r>
              <w:rPr>
                <w:rFonts w:hint="eastAsia" w:cs="Times New Roman"/>
                <w:b w:val="0"/>
                <w:bCs/>
                <w:color w:val="auto"/>
                <w:sz w:val="24"/>
                <w:szCs w:val="24"/>
                <w:lang w:val="en-US" w:eastAsia="zh-CN"/>
              </w:rPr>
              <w:t>21</w:t>
            </w:r>
            <w:r>
              <w:rPr>
                <w:rFonts w:hint="default" w:ascii="Times New Roman" w:hAnsi="Times New Roman" w:cs="Times New Roman"/>
                <w:b w:val="0"/>
                <w:bCs/>
                <w:color w:val="auto"/>
                <w:sz w:val="24"/>
              </w:rPr>
              <w:t>t/d</w:t>
            </w:r>
            <w:r>
              <w:rPr>
                <w:rFonts w:hint="default" w:ascii="Times New Roman" w:hAnsi="Times New Roman" w:cs="Times New Roman"/>
                <w:b w:val="0"/>
                <w:bCs/>
                <w:color w:val="auto"/>
                <w:sz w:val="24"/>
                <w:szCs w:val="24"/>
              </w:rPr>
              <w:t>，</w:t>
            </w:r>
            <w:r>
              <w:rPr>
                <w:rFonts w:hint="default" w:ascii="Times New Roman" w:hAnsi="Times New Roman" w:cs="Times New Roman"/>
                <w:b w:val="0"/>
                <w:bCs/>
                <w:color w:val="auto"/>
                <w:sz w:val="24"/>
                <w:szCs w:val="24"/>
                <w:lang w:eastAsia="zh-CN"/>
              </w:rPr>
              <w:t>锅炉</w:t>
            </w:r>
            <w:r>
              <w:rPr>
                <w:rFonts w:hint="default" w:ascii="Times New Roman" w:hAnsi="Times New Roman" w:cs="Times New Roman"/>
                <w:b w:val="0"/>
                <w:bCs/>
                <w:color w:val="auto"/>
                <w:sz w:val="24"/>
                <w:szCs w:val="24"/>
              </w:rPr>
              <w:t>排污水量为</w:t>
            </w:r>
            <w:r>
              <w:rPr>
                <w:rFonts w:hint="eastAsia" w:cs="Times New Roman"/>
                <w:b w:val="0"/>
                <w:bCs/>
                <w:color w:val="auto"/>
                <w:sz w:val="24"/>
                <w:szCs w:val="24"/>
                <w:lang w:val="en-US" w:eastAsia="zh-CN"/>
              </w:rPr>
              <w:t>12</w:t>
            </w:r>
            <w:r>
              <w:rPr>
                <w:rFonts w:hint="default" w:ascii="Times New Roman" w:hAnsi="Times New Roman" w:cs="Times New Roman"/>
                <w:b w:val="0"/>
                <w:bCs/>
                <w:color w:val="auto"/>
                <w:sz w:val="24"/>
              </w:rPr>
              <w:t>t/d</w:t>
            </w:r>
            <w:r>
              <w:rPr>
                <w:rFonts w:hint="default" w:ascii="Times New Roman" w:hAnsi="Times New Roman" w:cs="Times New Roman"/>
                <w:b w:val="0"/>
                <w:bCs/>
                <w:color w:val="auto"/>
                <w:sz w:val="24"/>
                <w:szCs w:val="24"/>
              </w:rPr>
              <w:t>，</w:t>
            </w:r>
            <w:r>
              <w:rPr>
                <w:rFonts w:hint="default" w:ascii="Times New Roman" w:hAnsi="Times New Roman" w:eastAsia="宋体" w:cs="Times New Roman"/>
                <w:b w:val="0"/>
                <w:bCs/>
                <w:color w:val="auto"/>
              </w:rPr>
              <w:t>锅炉排污水及软化处理废水</w:t>
            </w:r>
            <w:r>
              <w:rPr>
                <w:rFonts w:hint="default" w:ascii="Times New Roman" w:hAnsi="Times New Roman" w:cs="Times New Roman"/>
                <w:b w:val="0"/>
                <w:bCs/>
                <w:color w:val="auto"/>
                <w:lang w:val="en-US" w:eastAsia="zh-CN"/>
              </w:rPr>
              <w:t>排放量</w:t>
            </w:r>
            <w:r>
              <w:rPr>
                <w:rFonts w:hint="default" w:ascii="Times New Roman" w:hAnsi="Times New Roman" w:cs="Times New Roman"/>
                <w:b w:val="0"/>
                <w:bCs/>
                <w:color w:val="auto"/>
                <w:sz w:val="24"/>
                <w:szCs w:val="24"/>
              </w:rPr>
              <w:t>为</w:t>
            </w:r>
            <w:r>
              <w:rPr>
                <w:rFonts w:hint="eastAsia" w:cs="Times New Roman"/>
                <w:b w:val="0"/>
                <w:bCs/>
                <w:color w:val="auto"/>
                <w:sz w:val="24"/>
                <w:szCs w:val="24"/>
                <w:lang w:val="en-US" w:eastAsia="zh-CN"/>
              </w:rPr>
              <w:t>33</w:t>
            </w:r>
            <w:r>
              <w:rPr>
                <w:rFonts w:hint="default" w:ascii="Times New Roman" w:hAnsi="Times New Roman" w:cs="Times New Roman"/>
                <w:b w:val="0"/>
                <w:bCs/>
                <w:color w:val="auto"/>
                <w:sz w:val="24"/>
                <w:szCs w:val="24"/>
              </w:rPr>
              <w:t>t/d</w:t>
            </w:r>
            <w:bookmarkStart w:id="15" w:name="OLE_LINK4"/>
            <w:r>
              <w:rPr>
                <w:rFonts w:hint="default" w:ascii="Times New Roman" w:hAnsi="Times New Roman" w:cs="Times New Roman"/>
                <w:b w:val="0"/>
                <w:bCs/>
                <w:color w:val="auto"/>
                <w:sz w:val="24"/>
                <w:szCs w:val="24"/>
                <w:lang w:eastAsia="zh-CN"/>
              </w:rPr>
              <w:t>，</w:t>
            </w:r>
            <w:r>
              <w:rPr>
                <w:rFonts w:hint="eastAsia" w:cs="Times New Roman"/>
                <w:b w:val="0"/>
                <w:bCs/>
                <w:color w:val="auto"/>
                <w:sz w:val="24"/>
                <w:szCs w:val="24"/>
                <w:lang w:val="en-US" w:eastAsia="zh-CN"/>
              </w:rPr>
              <w:t>1980</w:t>
            </w:r>
            <w:r>
              <w:rPr>
                <w:rFonts w:hint="default" w:ascii="Times New Roman" w:hAnsi="Times New Roman" w:cs="Times New Roman"/>
                <w:b w:val="0"/>
                <w:bCs/>
                <w:color w:val="auto"/>
                <w:sz w:val="24"/>
                <w:szCs w:val="24"/>
              </w:rPr>
              <w:t>t/a</w:t>
            </w:r>
            <w:bookmarkEnd w:id="15"/>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本项目</w:t>
            </w:r>
            <w:r>
              <w:rPr>
                <w:rFonts w:hint="default" w:ascii="Times New Roman" w:hAnsi="Times New Roman" w:cs="Times New Roman"/>
                <w:b w:val="0"/>
                <w:bCs/>
                <w:color w:val="auto"/>
                <w:sz w:val="24"/>
                <w:szCs w:val="24"/>
                <w:lang w:eastAsia="zh-CN"/>
              </w:rPr>
              <w:t>锅炉排污水及软化处理废水用于锅炉</w:t>
            </w:r>
            <w:r>
              <w:rPr>
                <w:rFonts w:hint="default" w:ascii="Times New Roman" w:hAnsi="Times New Roman" w:cs="Times New Roman"/>
                <w:b w:val="0"/>
                <w:bCs/>
                <w:color w:val="auto"/>
                <w:sz w:val="24"/>
                <w:szCs w:val="24"/>
                <w:highlight w:val="none"/>
                <w:lang w:eastAsia="zh-CN"/>
              </w:rPr>
              <w:t>房、灰渣间、厂区洒水降尘，不外排</w:t>
            </w:r>
            <w:r>
              <w:rPr>
                <w:rFonts w:hint="default" w:ascii="Times New Roman" w:hAnsi="Times New Roman" w:cs="Times New Roman"/>
                <w:b w:val="0"/>
                <w:bCs/>
                <w:color w:val="auto"/>
                <w:sz w:val="24"/>
                <w:szCs w:val="24"/>
                <w:highlight w:val="none"/>
              </w:rPr>
              <w:t>。</w:t>
            </w:r>
          </w:p>
          <w:p>
            <w:pPr>
              <w:pStyle w:val="45"/>
              <w:spacing w:line="360" w:lineRule="auto"/>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lang w:eastAsia="zh-CN"/>
              </w:rPr>
              <w:t>车间</w:t>
            </w:r>
            <w:r>
              <w:rPr>
                <w:rFonts w:hint="default" w:ascii="Times New Roman" w:hAnsi="Times New Roman" w:cs="Times New Roman"/>
                <w:b w:val="0"/>
                <w:bCs/>
                <w:color w:val="auto"/>
                <w:highlight w:val="none"/>
              </w:rPr>
              <w:t>地面冲洗废水与</w:t>
            </w:r>
            <w:r>
              <w:rPr>
                <w:rFonts w:hint="default" w:ascii="Times New Roman" w:hAnsi="Times New Roman" w:cs="Times New Roman"/>
                <w:b w:val="0"/>
                <w:bCs/>
                <w:color w:val="auto"/>
                <w:szCs w:val="20"/>
                <w:highlight w:val="none"/>
              </w:rPr>
              <w:t>清洗</w:t>
            </w:r>
            <w:r>
              <w:rPr>
                <w:rFonts w:hint="default" w:ascii="Times New Roman" w:hAnsi="Times New Roman" w:cs="Times New Roman"/>
                <w:b w:val="0"/>
                <w:bCs/>
                <w:color w:val="auto"/>
                <w:szCs w:val="20"/>
                <w:highlight w:val="none"/>
                <w:lang w:eastAsia="zh-CN"/>
              </w:rPr>
              <w:t>废水排放</w:t>
            </w:r>
            <w:r>
              <w:rPr>
                <w:rFonts w:hint="default" w:ascii="Times New Roman" w:hAnsi="Times New Roman" w:cs="Times New Roman"/>
                <w:b w:val="0"/>
                <w:bCs/>
                <w:color w:val="auto"/>
                <w:highlight w:val="none"/>
                <w:lang w:val="zh-CN"/>
              </w:rPr>
              <w:t>量为</w:t>
            </w:r>
            <w:r>
              <w:rPr>
                <w:rFonts w:hint="default" w:ascii="Times New Roman" w:hAnsi="Times New Roman" w:cs="Times New Roman"/>
                <w:b w:val="0"/>
                <w:bCs/>
                <w:color w:val="auto"/>
                <w:highlight w:val="none"/>
                <w:lang w:val="en-US" w:eastAsia="zh-CN"/>
              </w:rPr>
              <w:t>2</w:t>
            </w:r>
            <w:r>
              <w:rPr>
                <w:rFonts w:hint="eastAsia" w:cs="Times New Roman"/>
                <w:b w:val="0"/>
                <w:bCs/>
                <w:color w:val="auto"/>
                <w:highlight w:val="none"/>
                <w:lang w:val="en-US" w:eastAsia="zh-CN"/>
              </w:rPr>
              <w:t>8</w:t>
            </w:r>
            <w:r>
              <w:rPr>
                <w:rFonts w:hint="default" w:ascii="Times New Roman" w:hAnsi="Times New Roman" w:cs="Times New Roman"/>
                <w:b w:val="0"/>
                <w:bCs/>
                <w:color w:val="auto"/>
                <w:highlight w:val="none"/>
                <w:lang w:val="zh-CN"/>
              </w:rPr>
              <w:t>t/d，</w:t>
            </w:r>
            <w:r>
              <w:rPr>
                <w:rFonts w:hint="default" w:ascii="Times New Roman" w:hAnsi="Times New Roman" w:eastAsia="宋体" w:cs="Times New Roman"/>
                <w:b w:val="0"/>
                <w:bCs/>
                <w:color w:val="auto"/>
                <w:highlight w:val="none"/>
              </w:rPr>
              <w:t>清洗</w:t>
            </w:r>
            <w:r>
              <w:rPr>
                <w:rFonts w:hint="default" w:ascii="Times New Roman" w:hAnsi="Times New Roman" w:cs="Times New Roman"/>
                <w:b w:val="0"/>
                <w:bCs/>
                <w:color w:val="auto"/>
                <w:highlight w:val="none"/>
                <w:lang w:val="en-US" w:eastAsia="zh-CN"/>
              </w:rPr>
              <w:t>废</w:t>
            </w:r>
            <w:r>
              <w:rPr>
                <w:rFonts w:hint="default" w:ascii="Times New Roman" w:hAnsi="Times New Roman" w:eastAsia="宋体" w:cs="Times New Roman"/>
                <w:b w:val="0"/>
                <w:bCs/>
                <w:color w:val="auto"/>
                <w:highlight w:val="none"/>
                <w:lang w:eastAsia="zh-CN"/>
              </w:rPr>
              <w:t>水</w:t>
            </w:r>
            <w:r>
              <w:rPr>
                <w:rFonts w:hint="default" w:ascii="Times New Roman" w:hAnsi="Times New Roman" w:eastAsia="宋体" w:cs="Times New Roman"/>
                <w:b w:val="0"/>
                <w:bCs/>
                <w:color w:val="auto"/>
                <w:highlight w:val="none"/>
              </w:rPr>
              <w:t>、车间地面冲洗废水</w:t>
            </w:r>
            <w:r>
              <w:rPr>
                <w:rFonts w:hint="default" w:ascii="Times New Roman" w:hAnsi="Times New Roman" w:eastAsia="宋体" w:cs="Times New Roman"/>
                <w:b w:val="0"/>
                <w:bCs/>
                <w:color w:val="auto"/>
                <w:highlight w:val="none"/>
                <w:lang w:val="en-US" w:eastAsia="zh-CN"/>
              </w:rPr>
              <w:t>污染物浓度较低</w:t>
            </w:r>
            <w:r>
              <w:rPr>
                <w:rFonts w:hint="default" w:ascii="Times New Roman" w:hAnsi="Times New Roman" w:cs="Times New Roman"/>
                <w:b w:val="0"/>
                <w:bCs/>
                <w:color w:val="auto"/>
                <w:szCs w:val="21"/>
                <w:highlight w:val="none"/>
              </w:rPr>
              <w:t>，</w:t>
            </w:r>
            <w:r>
              <w:rPr>
                <w:rFonts w:hint="default" w:ascii="Times New Roman" w:hAnsi="Times New Roman" w:cs="Times New Roman"/>
                <w:b w:val="0"/>
                <w:bCs/>
                <w:color w:val="auto"/>
                <w:highlight w:val="none"/>
              </w:rPr>
              <w:t>排入厂内</w:t>
            </w:r>
            <w:r>
              <w:rPr>
                <w:rFonts w:hint="default" w:ascii="Times New Roman" w:hAnsi="Times New Roman" w:cs="Times New Roman"/>
                <w:b w:val="0"/>
                <w:bCs/>
                <w:color w:val="auto"/>
                <w:highlight w:val="none"/>
                <w:lang w:val="en-US" w:eastAsia="zh-CN"/>
              </w:rPr>
              <w:t>30</w:t>
            </w:r>
            <w:r>
              <w:rPr>
                <w:rFonts w:hint="default" w:ascii="Times New Roman" w:hAnsi="Times New Roman" w:cs="Times New Roman"/>
                <w:b w:val="0"/>
                <w:bCs/>
                <w:color w:val="auto"/>
                <w:highlight w:val="none"/>
              </w:rPr>
              <w:t>m</w:t>
            </w:r>
            <w:r>
              <w:rPr>
                <w:rFonts w:hint="default" w:ascii="Times New Roman" w:hAnsi="Times New Roman" w:cs="Times New Roman"/>
                <w:b w:val="0"/>
                <w:bCs/>
                <w:color w:val="auto"/>
                <w:highlight w:val="none"/>
                <w:vertAlign w:val="superscript"/>
              </w:rPr>
              <w:t>3</w:t>
            </w:r>
            <w:r>
              <w:rPr>
                <w:rFonts w:hint="default" w:ascii="Times New Roman" w:hAnsi="Times New Roman" w:cs="Times New Roman"/>
                <w:b w:val="0"/>
                <w:bCs/>
                <w:color w:val="auto"/>
                <w:highlight w:val="none"/>
              </w:rPr>
              <w:t>密闭储罐中储存，可以储存约1天的废水，</w:t>
            </w:r>
            <w:r>
              <w:rPr>
                <w:rFonts w:hint="default" w:ascii="Times New Roman" w:hAnsi="Times New Roman" w:cs="Times New Roman"/>
                <w:b w:val="0"/>
                <w:bCs/>
                <w:color w:val="auto"/>
                <w:szCs w:val="21"/>
                <w:highlight w:val="none"/>
              </w:rPr>
              <w:t>日产日清，</w:t>
            </w:r>
            <w:r>
              <w:rPr>
                <w:rFonts w:hint="default" w:ascii="Times New Roman" w:hAnsi="Times New Roman" w:cs="Times New Roman"/>
                <w:b w:val="0"/>
                <w:bCs/>
                <w:color w:val="auto"/>
                <w:highlight w:val="none"/>
              </w:rPr>
              <w:t>每日由专用罐车拉运至</w:t>
            </w:r>
            <w:r>
              <w:rPr>
                <w:rFonts w:hint="eastAsia" w:cs="Times New Roman"/>
                <w:b w:val="0"/>
                <w:bCs/>
                <w:color w:val="auto"/>
                <w:highlight w:val="none"/>
                <w:lang w:eastAsia="zh-CN"/>
              </w:rPr>
              <w:t>五常市民泉污水处理有限公司</w:t>
            </w:r>
            <w:r>
              <w:rPr>
                <w:rFonts w:hint="default" w:ascii="Times New Roman" w:hAnsi="Times New Roman" w:cs="Times New Roman"/>
                <w:b w:val="0"/>
                <w:bCs/>
                <w:color w:val="auto"/>
                <w:highlight w:val="none"/>
              </w:rPr>
              <w:t>处理，</w:t>
            </w:r>
            <w:r>
              <w:rPr>
                <w:rFonts w:hint="default" w:ascii="Times New Roman" w:hAnsi="Times New Roman" w:cs="Times New Roman"/>
                <w:b w:val="0"/>
                <w:bCs/>
                <w:color w:val="auto"/>
                <w:szCs w:val="21"/>
                <w:highlight w:val="none"/>
              </w:rPr>
              <w:t>废水排放浓度满足《污水综合排放标准》（GB8978-1996）三级标准及</w:t>
            </w:r>
            <w:r>
              <w:rPr>
                <w:rFonts w:hint="eastAsia" w:cs="Times New Roman"/>
                <w:b w:val="0"/>
                <w:bCs/>
                <w:color w:val="auto"/>
                <w:szCs w:val="21"/>
                <w:highlight w:val="none"/>
                <w:lang w:eastAsia="zh-CN"/>
              </w:rPr>
              <w:t>五常市民泉污水处理有限公司</w:t>
            </w:r>
            <w:r>
              <w:rPr>
                <w:rFonts w:hint="default" w:ascii="Times New Roman" w:hAnsi="Times New Roman" w:cs="Times New Roman"/>
                <w:b w:val="0"/>
                <w:bCs/>
                <w:color w:val="auto"/>
                <w:szCs w:val="21"/>
                <w:highlight w:val="none"/>
              </w:rPr>
              <w:t>进水水质标准。</w:t>
            </w:r>
          </w:p>
          <w:p>
            <w:pPr>
              <w:pStyle w:val="68"/>
              <w:spacing w:line="240" w:lineRule="auto"/>
              <w:rPr>
                <w:rFonts w:hint="default" w:ascii="Times New Roman" w:hAnsi="Times New Roman" w:cs="Times New Roman" w:eastAsiaTheme="minorEastAsia"/>
                <w:b/>
                <w:bCs/>
                <w:color w:val="auto"/>
                <w:sz w:val="21"/>
                <w:szCs w:val="24"/>
                <w:highlight w:val="none"/>
                <w:lang w:eastAsia="zh-CN"/>
              </w:rPr>
            </w:pPr>
            <w:r>
              <w:rPr>
                <w:rFonts w:hint="default" w:ascii="Times New Roman" w:hAnsi="Times New Roman" w:cs="Times New Roman" w:eastAsiaTheme="minorEastAsia"/>
                <w:b/>
                <w:bCs/>
                <w:color w:val="auto"/>
                <w:sz w:val="21"/>
                <w:szCs w:val="24"/>
                <w:highlight w:val="none"/>
              </w:rPr>
              <w:t>表2-5  项目用排水情况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867"/>
              <w:gridCol w:w="1135"/>
              <w:gridCol w:w="1057"/>
              <w:gridCol w:w="1518"/>
              <w:gridCol w:w="1011"/>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blHeader/>
                <w:jc w:val="center"/>
              </w:trPr>
              <w:tc>
                <w:tcPr>
                  <w:tcW w:w="303" w:type="pct"/>
                  <w:tcBorders>
                    <w:tl2br w:val="nil"/>
                    <w:tr2bl w:val="nil"/>
                  </w:tcBorders>
                  <w:noWrap w:val="0"/>
                  <w:vAlign w:val="center"/>
                </w:tcPr>
                <w:p>
                  <w:pPr>
                    <w:snapToGrid w:val="0"/>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编号</w:t>
                  </w:r>
                </w:p>
              </w:tc>
              <w:tc>
                <w:tcPr>
                  <w:tcW w:w="1113" w:type="pct"/>
                  <w:tcBorders>
                    <w:tl2br w:val="nil"/>
                    <w:tr2bl w:val="nil"/>
                  </w:tcBorders>
                  <w:noWrap w:val="0"/>
                  <w:vAlign w:val="center"/>
                </w:tcPr>
                <w:p>
                  <w:pPr>
                    <w:snapToGrid w:val="0"/>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用水项目</w:t>
                  </w:r>
                </w:p>
              </w:tc>
              <w:tc>
                <w:tcPr>
                  <w:tcW w:w="677" w:type="pct"/>
                  <w:tcBorders>
                    <w:tl2br w:val="nil"/>
                    <w:tr2bl w:val="nil"/>
                  </w:tcBorders>
                  <w:noWrap w:val="0"/>
                  <w:vAlign w:val="center"/>
                </w:tcPr>
                <w:p>
                  <w:pPr>
                    <w:widowControl/>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用水量(m</w:t>
                  </w:r>
                  <w:r>
                    <w:rPr>
                      <w:rFonts w:hint="default" w:ascii="Times New Roman" w:hAnsi="Times New Roman" w:eastAsia="宋体" w:cs="Times New Roman"/>
                      <w:b w:val="0"/>
                      <w:bCs w:val="0"/>
                      <w:snapToGrid w:val="0"/>
                      <w:color w:val="auto"/>
                      <w:sz w:val="21"/>
                      <w:szCs w:val="21"/>
                      <w:highlight w:val="none"/>
                      <w:vertAlign w:val="superscript"/>
                    </w:rPr>
                    <w:t>3</w:t>
                  </w:r>
                  <w:r>
                    <w:rPr>
                      <w:rFonts w:hint="default" w:ascii="Times New Roman" w:hAnsi="Times New Roman" w:eastAsia="宋体" w:cs="Times New Roman"/>
                      <w:b w:val="0"/>
                      <w:bCs w:val="0"/>
                      <w:snapToGrid w:val="0"/>
                      <w:color w:val="auto"/>
                      <w:sz w:val="21"/>
                      <w:szCs w:val="21"/>
                      <w:highlight w:val="none"/>
                    </w:rPr>
                    <w:t>/</w:t>
                  </w:r>
                  <w:r>
                    <w:rPr>
                      <w:rFonts w:hint="default" w:ascii="Times New Roman" w:hAnsi="Times New Roman" w:eastAsia="宋体" w:cs="Times New Roman"/>
                      <w:b w:val="0"/>
                      <w:bCs w:val="0"/>
                      <w:snapToGrid w:val="0"/>
                      <w:color w:val="auto"/>
                      <w:sz w:val="21"/>
                      <w:szCs w:val="21"/>
                      <w:highlight w:val="none"/>
                      <w:lang w:val="en-US" w:eastAsia="zh-CN"/>
                    </w:rPr>
                    <w:t>d</w:t>
                  </w:r>
                  <w:r>
                    <w:rPr>
                      <w:rFonts w:hint="default" w:ascii="Times New Roman" w:hAnsi="Times New Roman" w:eastAsia="宋体" w:cs="Times New Roman"/>
                      <w:b w:val="0"/>
                      <w:bCs w:val="0"/>
                      <w:snapToGrid w:val="0"/>
                      <w:color w:val="auto"/>
                      <w:sz w:val="21"/>
                      <w:szCs w:val="21"/>
                      <w:highlight w:val="none"/>
                    </w:rPr>
                    <w:t>)</w:t>
                  </w:r>
                </w:p>
              </w:tc>
              <w:tc>
                <w:tcPr>
                  <w:tcW w:w="630" w:type="pct"/>
                  <w:tcBorders>
                    <w:tl2br w:val="nil"/>
                    <w:tr2bl w:val="nil"/>
                  </w:tcBorders>
                  <w:noWrap w:val="0"/>
                  <w:vAlign w:val="center"/>
                </w:tcPr>
                <w:p>
                  <w:pPr>
                    <w:widowControl/>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消耗水量(m</w:t>
                  </w:r>
                  <w:r>
                    <w:rPr>
                      <w:rFonts w:hint="default" w:ascii="Times New Roman" w:hAnsi="Times New Roman" w:eastAsia="宋体" w:cs="Times New Roman"/>
                      <w:b w:val="0"/>
                      <w:bCs w:val="0"/>
                      <w:snapToGrid w:val="0"/>
                      <w:color w:val="auto"/>
                      <w:sz w:val="21"/>
                      <w:szCs w:val="21"/>
                      <w:highlight w:val="none"/>
                      <w:vertAlign w:val="superscript"/>
                    </w:rPr>
                    <w:t>3</w:t>
                  </w:r>
                  <w:r>
                    <w:rPr>
                      <w:rFonts w:hint="default" w:ascii="Times New Roman" w:hAnsi="Times New Roman" w:eastAsia="宋体" w:cs="Times New Roman"/>
                      <w:b w:val="0"/>
                      <w:bCs w:val="0"/>
                      <w:snapToGrid w:val="0"/>
                      <w:color w:val="auto"/>
                      <w:sz w:val="21"/>
                      <w:szCs w:val="21"/>
                      <w:highlight w:val="none"/>
                    </w:rPr>
                    <w:t>/</w:t>
                  </w:r>
                  <w:r>
                    <w:rPr>
                      <w:rFonts w:hint="default" w:ascii="Times New Roman" w:hAnsi="Times New Roman" w:eastAsia="宋体" w:cs="Times New Roman"/>
                      <w:b w:val="0"/>
                      <w:bCs w:val="0"/>
                      <w:snapToGrid w:val="0"/>
                      <w:color w:val="auto"/>
                      <w:sz w:val="21"/>
                      <w:szCs w:val="21"/>
                      <w:highlight w:val="none"/>
                      <w:lang w:val="en-US" w:eastAsia="zh-CN"/>
                    </w:rPr>
                    <w:t>d</w:t>
                  </w:r>
                  <w:r>
                    <w:rPr>
                      <w:rFonts w:hint="default" w:ascii="Times New Roman" w:hAnsi="Times New Roman" w:eastAsia="宋体" w:cs="Times New Roman"/>
                      <w:b w:val="0"/>
                      <w:bCs w:val="0"/>
                      <w:snapToGrid w:val="0"/>
                      <w:color w:val="auto"/>
                      <w:sz w:val="21"/>
                      <w:szCs w:val="21"/>
                      <w:highlight w:val="none"/>
                    </w:rPr>
                    <w:t>)</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排水项目</w:t>
                  </w:r>
                </w:p>
              </w:tc>
              <w:tc>
                <w:tcPr>
                  <w:tcW w:w="603" w:type="pct"/>
                  <w:tcBorders>
                    <w:tl2br w:val="nil"/>
                    <w:tr2bl w:val="nil"/>
                  </w:tcBorders>
                  <w:noWrap w:val="0"/>
                  <w:vAlign w:val="center"/>
                </w:tcPr>
                <w:p>
                  <w:pPr>
                    <w:snapToGrid w:val="0"/>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排水量(m</w:t>
                  </w:r>
                  <w:r>
                    <w:rPr>
                      <w:rFonts w:hint="default" w:ascii="Times New Roman" w:hAnsi="Times New Roman" w:eastAsia="宋体" w:cs="Times New Roman"/>
                      <w:b w:val="0"/>
                      <w:bCs w:val="0"/>
                      <w:snapToGrid w:val="0"/>
                      <w:color w:val="auto"/>
                      <w:sz w:val="21"/>
                      <w:szCs w:val="21"/>
                      <w:highlight w:val="none"/>
                      <w:vertAlign w:val="superscript"/>
                    </w:rPr>
                    <w:t>3</w:t>
                  </w:r>
                  <w:r>
                    <w:rPr>
                      <w:rFonts w:hint="default" w:ascii="Times New Roman" w:hAnsi="Times New Roman" w:eastAsia="宋体" w:cs="Times New Roman"/>
                      <w:b w:val="0"/>
                      <w:bCs w:val="0"/>
                      <w:snapToGrid w:val="0"/>
                      <w:color w:val="auto"/>
                      <w:sz w:val="21"/>
                      <w:szCs w:val="21"/>
                      <w:highlight w:val="none"/>
                    </w:rPr>
                    <w:t>/</w:t>
                  </w:r>
                  <w:r>
                    <w:rPr>
                      <w:rFonts w:hint="default" w:ascii="Times New Roman" w:hAnsi="Times New Roman" w:eastAsia="宋体" w:cs="Times New Roman"/>
                      <w:b w:val="0"/>
                      <w:bCs w:val="0"/>
                      <w:snapToGrid w:val="0"/>
                      <w:color w:val="auto"/>
                      <w:sz w:val="21"/>
                      <w:szCs w:val="21"/>
                      <w:highlight w:val="none"/>
                      <w:lang w:val="en-US" w:eastAsia="zh-CN"/>
                    </w:rPr>
                    <w:t>d</w:t>
                  </w:r>
                  <w:r>
                    <w:rPr>
                      <w:rFonts w:hint="default" w:ascii="Times New Roman" w:hAnsi="Times New Roman" w:eastAsia="宋体" w:cs="Times New Roman"/>
                      <w:b w:val="0"/>
                      <w:bCs w:val="0"/>
                      <w:snapToGrid w:val="0"/>
                      <w:color w:val="auto"/>
                      <w:sz w:val="21"/>
                      <w:szCs w:val="21"/>
                      <w:highlight w:val="none"/>
                    </w:rPr>
                    <w:t>)</w:t>
                  </w:r>
                </w:p>
              </w:tc>
              <w:tc>
                <w:tcPr>
                  <w:tcW w:w="766" w:type="pct"/>
                  <w:tcBorders>
                    <w:tl2br w:val="nil"/>
                    <w:tr2bl w:val="nil"/>
                  </w:tcBorders>
                  <w:noWrap w:val="0"/>
                  <w:vAlign w:val="center"/>
                </w:tcPr>
                <w:p>
                  <w:pPr>
                    <w:snapToGrid w:val="0"/>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303" w:type="pct"/>
                  <w:vMerge w:val="restar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w:t>
                  </w:r>
                </w:p>
              </w:tc>
              <w:tc>
                <w:tcPr>
                  <w:tcW w:w="1113" w:type="pct"/>
                  <w:vMerge w:val="restar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cs="Times New Roman"/>
                      <w:snapToGrid w:val="0"/>
                      <w:color w:val="auto"/>
                      <w:sz w:val="21"/>
                      <w:szCs w:val="21"/>
                      <w:highlight w:val="none"/>
                      <w:lang w:val="en-US" w:eastAsia="zh-CN"/>
                    </w:rPr>
                    <w:t>锅炉</w:t>
                  </w:r>
                  <w:r>
                    <w:rPr>
                      <w:rFonts w:hint="default" w:ascii="Times New Roman" w:hAnsi="Times New Roman" w:eastAsia="宋体" w:cs="Times New Roman"/>
                      <w:snapToGrid w:val="0"/>
                      <w:color w:val="auto"/>
                      <w:sz w:val="21"/>
                      <w:szCs w:val="21"/>
                      <w:highlight w:val="none"/>
                    </w:rPr>
                    <w:t>用水</w:t>
                  </w:r>
                </w:p>
              </w:tc>
              <w:tc>
                <w:tcPr>
                  <w:tcW w:w="677"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133</w:t>
                  </w:r>
                </w:p>
              </w:tc>
              <w:tc>
                <w:tcPr>
                  <w:tcW w:w="630" w:type="pct"/>
                  <w:vMerge w:val="restart"/>
                  <w:tcBorders>
                    <w:tl2br w:val="nil"/>
                    <w:tr2bl w:val="nil"/>
                  </w:tcBorders>
                  <w:noWrap w:val="0"/>
                  <w:vAlign w:val="center"/>
                </w:tcPr>
                <w:p>
                  <w:pPr>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100</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锅炉排污水</w:t>
                  </w:r>
                </w:p>
              </w:tc>
              <w:tc>
                <w:tcPr>
                  <w:tcW w:w="6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12</w:t>
                  </w:r>
                </w:p>
              </w:tc>
              <w:tc>
                <w:tcPr>
                  <w:tcW w:w="766" w:type="pct"/>
                  <w:vMerge w:val="restar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lang w:eastAsia="zh-CN"/>
                    </w:rPr>
                    <w:t>锅炉房、灰渣间、厂区洒水降尘，不外排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tcBorders>
                    <w:tl2br w:val="nil"/>
                    <w:tr2bl w:val="nil"/>
                  </w:tcBorders>
                  <w:noWrap w:val="0"/>
                  <w:vAlign w:val="center"/>
                </w:tcPr>
                <w:p>
                  <w:pPr>
                    <w:widowControl/>
                    <w:rPr>
                      <w:rFonts w:hint="default" w:ascii="Times New Roman" w:hAnsi="Times New Roman" w:eastAsia="宋体" w:cs="Times New Roman"/>
                      <w:snapToGrid w:val="0"/>
                      <w:color w:val="auto"/>
                      <w:sz w:val="21"/>
                      <w:szCs w:val="21"/>
                      <w:highlight w:val="none"/>
                    </w:rPr>
                  </w:pPr>
                </w:p>
              </w:tc>
              <w:tc>
                <w:tcPr>
                  <w:tcW w:w="0" w:type="auto"/>
                  <w:vMerge w:val="continue"/>
                  <w:tcBorders>
                    <w:tl2br w:val="nil"/>
                    <w:tr2bl w:val="nil"/>
                  </w:tcBorders>
                  <w:noWrap w:val="0"/>
                  <w:vAlign w:val="center"/>
                </w:tcPr>
                <w:p>
                  <w:pPr>
                    <w:widowControl/>
                    <w:rPr>
                      <w:rFonts w:hint="default" w:ascii="Times New Roman" w:hAnsi="Times New Roman" w:eastAsia="宋体" w:cs="Times New Roman"/>
                      <w:snapToGrid w:val="0"/>
                      <w:color w:val="auto"/>
                      <w:sz w:val="21"/>
                      <w:szCs w:val="21"/>
                      <w:highlight w:val="none"/>
                    </w:rPr>
                  </w:pPr>
                </w:p>
              </w:tc>
              <w:tc>
                <w:tcPr>
                  <w:tcW w:w="677" w:type="pct"/>
                  <w:vMerge w:val="continue"/>
                  <w:tcBorders>
                    <w:tl2br w:val="nil"/>
                    <w:tr2bl w:val="nil"/>
                  </w:tcBorders>
                  <w:noWrap w:val="0"/>
                  <w:vAlign w:val="center"/>
                </w:tcPr>
                <w:p>
                  <w:pPr>
                    <w:widowControl/>
                    <w:rPr>
                      <w:rFonts w:hint="default" w:ascii="Times New Roman" w:hAnsi="Times New Roman" w:eastAsia="宋体" w:cs="Times New Roman"/>
                      <w:snapToGrid w:val="0"/>
                      <w:color w:val="auto"/>
                      <w:sz w:val="21"/>
                      <w:szCs w:val="21"/>
                      <w:highlight w:val="none"/>
                    </w:rPr>
                  </w:pPr>
                </w:p>
              </w:tc>
              <w:tc>
                <w:tcPr>
                  <w:tcW w:w="630" w:type="pct"/>
                  <w:vMerge w:val="continue"/>
                  <w:tcBorders>
                    <w:tl2br w:val="nil"/>
                    <w:tr2bl w:val="nil"/>
                  </w:tcBorders>
                  <w:noWrap w:val="0"/>
                  <w:vAlign w:val="center"/>
                </w:tcPr>
                <w:p>
                  <w:pPr>
                    <w:widowControl/>
                    <w:rPr>
                      <w:rFonts w:hint="default" w:ascii="Times New Roman" w:hAnsi="Times New Roman" w:eastAsia="宋体" w:cs="Times New Roman"/>
                      <w:snapToGrid w:val="0"/>
                      <w:color w:val="auto"/>
                      <w:sz w:val="21"/>
                      <w:szCs w:val="21"/>
                      <w:highlight w:val="none"/>
                    </w:rPr>
                  </w:pP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lang w:eastAsia="zh-CN"/>
                    </w:rPr>
                    <w:t>软化处理废水</w:t>
                  </w:r>
                </w:p>
              </w:tc>
              <w:tc>
                <w:tcPr>
                  <w:tcW w:w="6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21</w:t>
                  </w:r>
                </w:p>
              </w:tc>
              <w:tc>
                <w:tcPr>
                  <w:tcW w:w="766" w:type="pct"/>
                  <w:vMerge w:val="continue"/>
                  <w:tcBorders>
                    <w:tl2br w:val="nil"/>
                    <w:tr2bl w:val="nil"/>
                  </w:tcBorders>
                  <w:noWrap w:val="0"/>
                  <w:vAlign w:val="center"/>
                </w:tcPr>
                <w:p>
                  <w:pPr>
                    <w:widowControl/>
                    <w:jc w:val="center"/>
                    <w:rPr>
                      <w:rFonts w:hint="default" w:ascii="Times New Roman" w:hAnsi="Times New Roman" w:eastAsia="宋体" w:cs="Times New Roman"/>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2</w:t>
                  </w:r>
                </w:p>
              </w:tc>
              <w:tc>
                <w:tcPr>
                  <w:tcW w:w="111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车间</w:t>
                  </w:r>
                  <w:r>
                    <w:rPr>
                      <w:rFonts w:hint="default" w:ascii="Times New Roman" w:hAnsi="Times New Roman" w:cs="Times New Roman"/>
                      <w:color w:val="auto"/>
                      <w:sz w:val="21"/>
                      <w:szCs w:val="21"/>
                      <w:highlight w:val="none"/>
                      <w:lang w:eastAsia="zh-CN"/>
                    </w:rPr>
                    <w:t>地面</w:t>
                  </w:r>
                  <w:r>
                    <w:rPr>
                      <w:rFonts w:hint="default" w:ascii="Times New Roman" w:hAnsi="Times New Roman" w:cs="Times New Roman"/>
                      <w:color w:val="auto"/>
                      <w:sz w:val="21"/>
                      <w:szCs w:val="21"/>
                      <w:highlight w:val="none"/>
                    </w:rPr>
                    <w:t>冲洗</w:t>
                  </w:r>
                </w:p>
                <w:p>
                  <w:pPr>
                    <w:pStyle w:val="10"/>
                    <w:adjustRightInd w:val="0"/>
                    <w:snapToGrid w:val="0"/>
                    <w:spacing w:after="0"/>
                    <w:ind w:left="0" w:lef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用水</w:t>
                  </w:r>
                </w:p>
              </w:tc>
              <w:tc>
                <w:tcPr>
                  <w:tcW w:w="677"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5.0</w:t>
                  </w:r>
                </w:p>
              </w:tc>
              <w:tc>
                <w:tcPr>
                  <w:tcW w:w="630" w:type="pct"/>
                  <w:tcBorders>
                    <w:tl2br w:val="nil"/>
                    <w:tr2bl w:val="nil"/>
                  </w:tcBorders>
                  <w:noWrap w:val="0"/>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w:t>
                  </w:r>
                </w:p>
              </w:tc>
              <w:tc>
                <w:tcPr>
                  <w:tcW w:w="905" w:type="pct"/>
                  <w:tcBorders>
                    <w:tl2br w:val="nil"/>
                    <w:tr2bl w:val="nil"/>
                  </w:tcBorders>
                  <w:noWrap w:val="0"/>
                  <w:vAlign w:val="center"/>
                </w:tcPr>
                <w:p>
                  <w:pPr>
                    <w:widowControl w:val="0"/>
                    <w:adjustRightInd w:val="0"/>
                    <w:snapToGrid w:val="0"/>
                    <w:spacing w:after="0"/>
                    <w:ind w:left="0" w:left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车间</w:t>
                  </w:r>
                  <w:r>
                    <w:rPr>
                      <w:rFonts w:hint="default" w:ascii="Times New Roman" w:hAnsi="Times New Roman" w:cs="Times New Roman"/>
                      <w:color w:val="auto"/>
                      <w:kern w:val="0"/>
                      <w:sz w:val="21"/>
                      <w:szCs w:val="21"/>
                      <w:highlight w:val="none"/>
                      <w:lang w:val="en-US" w:eastAsia="zh-CN" w:bidi="ar-SA"/>
                    </w:rPr>
                    <w:t>地面</w:t>
                  </w:r>
                  <w:r>
                    <w:rPr>
                      <w:rFonts w:hint="default" w:ascii="Times New Roman" w:hAnsi="Times New Roman" w:eastAsia="宋体" w:cs="Times New Roman"/>
                      <w:color w:val="auto"/>
                      <w:kern w:val="0"/>
                      <w:sz w:val="21"/>
                      <w:szCs w:val="21"/>
                      <w:highlight w:val="none"/>
                      <w:lang w:val="en-US" w:eastAsia="zh-CN" w:bidi="ar-SA"/>
                    </w:rPr>
                    <w:t>冲洗废水</w:t>
                  </w:r>
                </w:p>
              </w:tc>
              <w:tc>
                <w:tcPr>
                  <w:tcW w:w="60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4.0</w:t>
                  </w:r>
                </w:p>
              </w:tc>
              <w:tc>
                <w:tcPr>
                  <w:tcW w:w="766" w:type="pct"/>
                  <w:vMerge w:val="restar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由专用罐车拉运至</w:t>
                  </w:r>
                  <w:r>
                    <w:rPr>
                      <w:rFonts w:hint="eastAsia" w:cs="Times New Roman"/>
                      <w:snapToGrid w:val="0"/>
                      <w:color w:val="auto"/>
                      <w:sz w:val="21"/>
                      <w:szCs w:val="21"/>
                      <w:highlight w:val="none"/>
                      <w:lang w:eastAsia="zh-CN"/>
                    </w:rPr>
                    <w:t>五常市民泉污水处理有限公司</w:t>
                  </w:r>
                  <w:r>
                    <w:rPr>
                      <w:rFonts w:hint="default" w:ascii="Times New Roman" w:hAnsi="Times New Roman" w:eastAsia="宋体" w:cs="Times New Roman"/>
                      <w:snapToGrid w:val="0"/>
                      <w:color w:val="auto"/>
                      <w:sz w:val="21"/>
                      <w:szCs w:val="21"/>
                      <w:highlight w:val="none"/>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3</w:t>
                  </w:r>
                </w:p>
              </w:tc>
              <w:tc>
                <w:tcPr>
                  <w:tcW w:w="111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清洗用水</w:t>
                  </w:r>
                </w:p>
              </w:tc>
              <w:tc>
                <w:tcPr>
                  <w:tcW w:w="677"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30</w:t>
                  </w:r>
                </w:p>
              </w:tc>
              <w:tc>
                <w:tcPr>
                  <w:tcW w:w="630" w:type="pct"/>
                  <w:tcBorders>
                    <w:tl2br w:val="nil"/>
                    <w:tr2bl w:val="nil"/>
                  </w:tcBorders>
                  <w:noWrap w:val="0"/>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6.0</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清洗废水</w:t>
                  </w:r>
                </w:p>
              </w:tc>
              <w:tc>
                <w:tcPr>
                  <w:tcW w:w="60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w:t>
                  </w:r>
                </w:p>
              </w:tc>
              <w:tc>
                <w:tcPr>
                  <w:tcW w:w="766" w:type="pct"/>
                  <w:vMerge w:val="continue"/>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tcBorders>
                    <w:tl2br w:val="nil"/>
                    <w:tr2bl w:val="nil"/>
                  </w:tcBorders>
                  <w:noWrap w:val="0"/>
                  <w:vAlign w:val="center"/>
                </w:tcPr>
                <w:p>
                  <w:pPr>
                    <w:snapToGrid w:val="0"/>
                    <w:jc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4</w:t>
                  </w:r>
                </w:p>
              </w:tc>
              <w:tc>
                <w:tcPr>
                  <w:tcW w:w="111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高温杀菌用水</w:t>
                  </w:r>
                </w:p>
              </w:tc>
              <w:tc>
                <w:tcPr>
                  <w:tcW w:w="677"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0.105</w:t>
                  </w:r>
                </w:p>
              </w:tc>
              <w:tc>
                <w:tcPr>
                  <w:tcW w:w="630" w:type="pct"/>
                  <w:tcBorders>
                    <w:tl2br w:val="nil"/>
                    <w:tr2bl w:val="nil"/>
                  </w:tcBorders>
                  <w:noWrap w:val="0"/>
                  <w:vAlign w:val="center"/>
                </w:tcPr>
                <w:p>
                  <w:pPr>
                    <w:jc w:val="center"/>
                    <w:rPr>
                      <w:rFonts w:hint="default" w:ascii="Times New Roman" w:hAnsi="Times New Roman"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0.105</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w:t>
                  </w:r>
                </w:p>
              </w:tc>
              <w:tc>
                <w:tcPr>
                  <w:tcW w:w="60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66"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3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snapToGrid w:val="0"/>
                      <w:color w:val="auto"/>
                      <w:kern w:val="2"/>
                      <w:sz w:val="21"/>
                      <w:szCs w:val="21"/>
                      <w:highlight w:val="none"/>
                      <w:lang w:val="en-US" w:eastAsia="zh-CN" w:bidi="ar-SA"/>
                    </w:rPr>
                    <w:t>5</w:t>
                  </w:r>
                </w:p>
              </w:tc>
              <w:tc>
                <w:tcPr>
                  <w:tcW w:w="111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生活用水</w:t>
                  </w:r>
                </w:p>
              </w:tc>
              <w:tc>
                <w:tcPr>
                  <w:tcW w:w="677"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w:t>
                  </w:r>
                </w:p>
              </w:tc>
              <w:tc>
                <w:tcPr>
                  <w:tcW w:w="630" w:type="pct"/>
                  <w:tcBorders>
                    <w:tl2br w:val="nil"/>
                    <w:tr2bl w:val="nil"/>
                  </w:tcBorders>
                  <w:noWrap w:val="0"/>
                  <w:vAlign w:val="center"/>
                </w:tcPr>
                <w:p>
                  <w:pPr>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3.2</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生活污水</w:t>
                  </w:r>
                </w:p>
              </w:tc>
              <w:tc>
                <w:tcPr>
                  <w:tcW w:w="603" w:type="pct"/>
                  <w:tcBorders>
                    <w:tl2br w:val="nil"/>
                    <w:tr2bl w:val="nil"/>
                  </w:tcBorders>
                  <w:noWrap w:val="0"/>
                  <w:vAlign w:val="center"/>
                </w:tcPr>
                <w:p>
                  <w:pPr>
                    <w:pStyle w:val="10"/>
                    <w:adjustRightInd w:val="0"/>
                    <w:snapToGrid w:val="0"/>
                    <w:spacing w:after="0"/>
                    <w:ind w:left="0" w:left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12.8</w:t>
                  </w:r>
                </w:p>
              </w:tc>
              <w:tc>
                <w:tcPr>
                  <w:tcW w:w="766"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eastAsia="zh-CN"/>
                    </w:rPr>
                    <w:t>排入防渗旱厕，定期清掏，外运堆肥。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6</w:t>
                  </w:r>
                </w:p>
              </w:tc>
              <w:tc>
                <w:tcPr>
                  <w:tcW w:w="111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合计</w:t>
                  </w:r>
                </w:p>
              </w:tc>
              <w:tc>
                <w:tcPr>
                  <w:tcW w:w="677"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184.105</w:t>
                  </w:r>
                </w:p>
              </w:tc>
              <w:tc>
                <w:tcPr>
                  <w:tcW w:w="630"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110.305</w:t>
                  </w:r>
                </w:p>
              </w:tc>
              <w:tc>
                <w:tcPr>
                  <w:tcW w:w="905"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w:t>
                  </w:r>
                </w:p>
              </w:tc>
              <w:tc>
                <w:tcPr>
                  <w:tcW w:w="603"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2</w:t>
                  </w:r>
                  <w:r>
                    <w:rPr>
                      <w:rFonts w:hint="eastAsia" w:cs="Times New Roman"/>
                      <w:snapToGrid w:val="0"/>
                      <w:color w:val="auto"/>
                      <w:sz w:val="21"/>
                      <w:szCs w:val="21"/>
                      <w:lang w:val="en-US" w:eastAsia="zh-CN"/>
                    </w:rPr>
                    <w:t>8</w:t>
                  </w:r>
                </w:p>
              </w:tc>
              <w:tc>
                <w:tcPr>
                  <w:tcW w:w="766" w:type="pc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cs="Times New Roman"/>
                      <w:snapToGrid w:val="0"/>
                      <w:color w:val="auto"/>
                      <w:sz w:val="21"/>
                      <w:szCs w:val="21"/>
                      <w:lang w:val="en-US" w:eastAsia="zh-CN"/>
                    </w:rPr>
                    <w:t>/</w:t>
                  </w:r>
                </w:p>
              </w:tc>
            </w:tr>
          </w:tbl>
          <w:p>
            <w:pPr>
              <w:rPr>
                <w:rFonts w:hint="default" w:ascii="Times New Roman" w:hAnsi="Times New Roman" w:cs="Times New Roman"/>
                <w:b/>
                <w:bCs/>
                <w:color w:val="auto"/>
                <w:sz w:val="21"/>
                <w:szCs w:val="21"/>
              </w:rPr>
            </w:pPr>
          </w:p>
          <w:p>
            <w:pPr>
              <w:pStyle w:val="25"/>
              <w:ind w:left="0" w:leftChars="0" w:firstLine="0" w:firstLineChars="0"/>
              <w:jc w:val="center"/>
              <w:rPr>
                <w:rFonts w:hint="default" w:ascii="Times New Roman" w:hAnsi="Times New Roman" w:cs="Times New Roman"/>
                <w:color w:val="auto"/>
                <w:highlight w:val="none"/>
              </w:rPr>
            </w:pPr>
            <w:r>
              <w:rPr>
                <w:color w:val="auto"/>
                <w:highlight w:val="none"/>
              </w:rPr>
              <w:drawing>
                <wp:inline distT="0" distB="0" distL="114300" distR="114300">
                  <wp:extent cx="5360670" cy="4408170"/>
                  <wp:effectExtent l="0" t="0" r="11430" b="1143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9"/>
                          <a:stretch>
                            <a:fillRect/>
                          </a:stretch>
                        </pic:blipFill>
                        <pic:spPr>
                          <a:xfrm>
                            <a:off x="0" y="0"/>
                            <a:ext cx="5360670" cy="4408170"/>
                          </a:xfrm>
                          <a:prstGeom prst="rect">
                            <a:avLst/>
                          </a:prstGeom>
                          <a:noFill/>
                          <a:ln>
                            <a:noFill/>
                          </a:ln>
                        </pic:spPr>
                      </pic:pic>
                    </a:graphicData>
                  </a:graphic>
                </wp:inline>
              </w:drawing>
            </w:r>
          </w:p>
          <w:p>
            <w:pPr>
              <w:pStyle w:val="68"/>
              <w:spacing w:line="360" w:lineRule="auto"/>
              <w:rPr>
                <w:rFonts w:hint="default" w:ascii="Times New Roman" w:hAnsi="Times New Roman" w:cs="Times New Roman" w:eastAsiaTheme="minorEastAsia"/>
                <w:b/>
                <w:bCs/>
                <w:color w:val="auto"/>
                <w:sz w:val="21"/>
                <w:szCs w:val="24"/>
                <w:highlight w:val="none"/>
              </w:rPr>
            </w:pPr>
            <w:r>
              <w:rPr>
                <w:rFonts w:hint="default" w:ascii="Times New Roman" w:hAnsi="Times New Roman" w:cs="Times New Roman" w:eastAsiaTheme="minorEastAsia"/>
                <w:b/>
                <w:bCs/>
                <w:color w:val="auto"/>
                <w:sz w:val="21"/>
                <w:szCs w:val="24"/>
                <w:highlight w:val="none"/>
              </w:rPr>
              <w:t>图2-1  项目水量平衡图  单位：t/d</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（2）供热</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①生活供热：本项目办公室供暖采用电取暖。</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②生产用热：本项</w:t>
            </w:r>
            <w:r>
              <w:rPr>
                <w:rFonts w:hint="default" w:ascii="Times New Roman" w:hAnsi="Times New Roman" w:eastAsia="宋体" w:cs="Times New Roman"/>
                <w:b w:val="0"/>
                <w:bCs/>
                <w:color w:val="auto"/>
                <w:sz w:val="24"/>
                <w:szCs w:val="24"/>
                <w:lang w:val="en-US" w:eastAsia="zh-CN"/>
              </w:rPr>
              <w:t>目生产鲜食玉米的蒸汽由</w:t>
            </w:r>
            <w:r>
              <w:rPr>
                <w:rFonts w:hint="default" w:ascii="Times New Roman" w:hAnsi="Times New Roman" w:cs="Times New Roman"/>
                <w:color w:val="auto"/>
                <w:sz w:val="24"/>
                <w:szCs w:val="24"/>
                <w:highlight w:val="none"/>
              </w:rPr>
              <w:t>1台</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t/h燃生物质蒸汽锅炉</w:t>
            </w:r>
            <w:r>
              <w:rPr>
                <w:rFonts w:hint="eastAsia"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1台</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t/h燃生物质蒸汽锅炉</w:t>
            </w:r>
            <w:r>
              <w:rPr>
                <w:rFonts w:hint="default" w:ascii="Times New Roman" w:hAnsi="Times New Roman" w:eastAsia="宋体" w:cs="Times New Roman"/>
                <w:b w:val="0"/>
                <w:bCs/>
                <w:color w:val="auto"/>
                <w:sz w:val="24"/>
                <w:szCs w:val="24"/>
                <w:lang w:val="en-US" w:eastAsia="zh-CN"/>
              </w:rPr>
              <w:t>提供。</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（3）供电</w:t>
            </w:r>
          </w:p>
          <w:p>
            <w:pPr>
              <w:adjustRightInd w:val="0"/>
              <w:snapToGri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项目用电由当地电业局提供，能够满足本项目用电。</w:t>
            </w:r>
          </w:p>
          <w:p>
            <w:p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7、厂区平面布置</w:t>
            </w:r>
          </w:p>
          <w:p>
            <w:pPr>
              <w:adjustRightInd w:val="0"/>
              <w:snapToGrid w:val="0"/>
              <w:spacing w:line="360" w:lineRule="auto"/>
              <w:ind w:firstLine="480" w:firstLineChars="200"/>
              <w:rPr>
                <w:rFonts w:hint="default" w:ascii="Times New Roman" w:hAnsi="Times New Roman" w:eastAsia="宋体" w:cs="Times New Roman"/>
                <w:b w:val="0"/>
                <w:bCs/>
                <w:color w:val="auto"/>
                <w:sz w:val="24"/>
                <w:highlight w:val="yellow"/>
                <w:lang w:val="en-US" w:eastAsia="zh-CN"/>
              </w:rPr>
            </w:pPr>
            <w:r>
              <w:rPr>
                <w:rFonts w:hint="default" w:ascii="Times New Roman" w:hAnsi="Times New Roman" w:eastAsia="宋体" w:cs="Times New Roman"/>
                <w:b w:val="0"/>
                <w:bCs/>
                <w:color w:val="auto"/>
                <w:sz w:val="24"/>
                <w:highlight w:val="none"/>
                <w:lang w:val="en-US" w:eastAsia="zh-CN"/>
              </w:rPr>
              <w:t>本项目</w:t>
            </w:r>
            <w:r>
              <w:rPr>
                <w:rFonts w:hint="default" w:ascii="Times New Roman" w:hAnsi="Times New Roman" w:cs="Times New Roman"/>
                <w:b w:val="0"/>
                <w:bCs/>
                <w:color w:val="auto"/>
                <w:sz w:val="24"/>
                <w:highlight w:val="none"/>
                <w:lang w:val="en-US" w:eastAsia="zh-CN"/>
              </w:rPr>
              <w:t>锅炉房</w:t>
            </w:r>
            <w:r>
              <w:rPr>
                <w:rFonts w:hint="eastAsia" w:cs="Times New Roman"/>
                <w:b w:val="0"/>
                <w:bCs/>
                <w:color w:val="auto"/>
                <w:sz w:val="24"/>
                <w:highlight w:val="none"/>
                <w:lang w:val="en-US" w:eastAsia="zh-CN"/>
              </w:rPr>
              <w:t>、燃料库、灰渣间</w:t>
            </w:r>
            <w:r>
              <w:rPr>
                <w:rFonts w:hint="default" w:ascii="Times New Roman" w:hAnsi="Times New Roman" w:eastAsia="宋体" w:cs="Times New Roman"/>
                <w:b w:val="0"/>
                <w:bCs/>
                <w:color w:val="auto"/>
                <w:sz w:val="24"/>
                <w:highlight w:val="none"/>
                <w:lang w:val="en-US" w:eastAsia="zh-CN"/>
              </w:rPr>
              <w:t>位于厂区</w:t>
            </w:r>
            <w:r>
              <w:rPr>
                <w:rFonts w:hint="eastAsia" w:cs="Times New Roman"/>
                <w:b w:val="0"/>
                <w:bCs/>
                <w:color w:val="auto"/>
                <w:sz w:val="24"/>
                <w:highlight w:val="none"/>
                <w:lang w:val="en-US" w:eastAsia="zh-CN"/>
              </w:rPr>
              <w:t>西北</w:t>
            </w:r>
            <w:r>
              <w:rPr>
                <w:rFonts w:hint="default" w:ascii="Times New Roman" w:hAnsi="Times New Roman" w:cs="Times New Roman"/>
                <w:b w:val="0"/>
                <w:bCs/>
                <w:color w:val="auto"/>
                <w:sz w:val="24"/>
                <w:highlight w:val="none"/>
                <w:lang w:val="en-US" w:eastAsia="zh-CN"/>
              </w:rPr>
              <w:t>侧、</w:t>
            </w:r>
            <w:r>
              <w:rPr>
                <w:rFonts w:hint="eastAsia" w:cs="Times New Roman"/>
                <w:b w:val="0"/>
                <w:bCs/>
                <w:color w:val="auto"/>
                <w:sz w:val="24"/>
                <w:highlight w:val="none"/>
                <w:lang w:val="en-US" w:eastAsia="zh-CN"/>
              </w:rPr>
              <w:t>防渗旱厕、</w:t>
            </w:r>
            <w:r>
              <w:rPr>
                <w:rFonts w:hint="default" w:ascii="Times New Roman" w:hAnsi="Times New Roman" w:cs="Times New Roman"/>
                <w:b w:val="0"/>
                <w:bCs/>
                <w:color w:val="auto"/>
                <w:sz w:val="24"/>
                <w:highlight w:val="none"/>
                <w:lang w:val="en-US" w:eastAsia="zh-CN"/>
              </w:rPr>
              <w:t>鲜食玉米</w:t>
            </w:r>
            <w:r>
              <w:rPr>
                <w:rFonts w:hint="eastAsia" w:cs="Times New Roman"/>
                <w:b w:val="0"/>
                <w:bCs/>
                <w:color w:val="auto"/>
                <w:sz w:val="24"/>
                <w:highlight w:val="none"/>
                <w:lang w:val="en-US" w:eastAsia="zh-CN"/>
              </w:rPr>
              <w:t>成品库房1、2、3</w:t>
            </w:r>
            <w:r>
              <w:rPr>
                <w:rFonts w:hint="default" w:ascii="Times New Roman" w:hAnsi="Times New Roman" w:eastAsia="宋体" w:cs="Times New Roman"/>
                <w:b w:val="0"/>
                <w:bCs/>
                <w:color w:val="auto"/>
                <w:sz w:val="24"/>
                <w:highlight w:val="none"/>
                <w:lang w:val="en-US" w:eastAsia="zh-CN"/>
              </w:rPr>
              <w:t>位于厂区</w:t>
            </w:r>
            <w:r>
              <w:rPr>
                <w:rFonts w:hint="eastAsia" w:cs="Times New Roman"/>
                <w:b w:val="0"/>
                <w:bCs/>
                <w:color w:val="auto"/>
                <w:sz w:val="24"/>
                <w:highlight w:val="none"/>
                <w:lang w:val="en-US" w:eastAsia="zh-CN"/>
              </w:rPr>
              <w:t>北</w:t>
            </w:r>
            <w:r>
              <w:rPr>
                <w:rFonts w:hint="default" w:ascii="Times New Roman" w:hAnsi="Times New Roman" w:cs="Times New Roman"/>
                <w:b w:val="0"/>
                <w:bCs/>
                <w:color w:val="auto"/>
                <w:sz w:val="24"/>
                <w:highlight w:val="none"/>
                <w:lang w:val="en-US" w:eastAsia="zh-CN"/>
              </w:rPr>
              <w:t>侧</w:t>
            </w:r>
            <w:r>
              <w:rPr>
                <w:rFonts w:hint="default" w:ascii="Times New Roman" w:hAnsi="Times New Roman" w:eastAsia="宋体" w:cs="Times New Roman"/>
                <w:b w:val="0"/>
                <w:bCs/>
                <w:color w:val="auto"/>
                <w:sz w:val="24"/>
                <w:highlight w:val="none"/>
                <w:lang w:val="en-US" w:eastAsia="zh-CN"/>
              </w:rPr>
              <w:t>、办公</w:t>
            </w:r>
            <w:r>
              <w:rPr>
                <w:rFonts w:hint="eastAsia" w:cs="Times New Roman"/>
                <w:b w:val="0"/>
                <w:bCs/>
                <w:color w:val="auto"/>
                <w:sz w:val="24"/>
                <w:highlight w:val="none"/>
                <w:lang w:val="en-US" w:eastAsia="zh-CN"/>
              </w:rPr>
              <w:t>室</w:t>
            </w:r>
            <w:r>
              <w:rPr>
                <w:rFonts w:hint="default" w:ascii="Times New Roman" w:hAnsi="Times New Roman" w:cs="Times New Roman"/>
                <w:b w:val="0"/>
                <w:bCs/>
                <w:color w:val="auto"/>
                <w:sz w:val="24"/>
                <w:highlight w:val="none"/>
                <w:lang w:val="en-US" w:eastAsia="zh-CN"/>
              </w:rPr>
              <w:t>、</w:t>
            </w:r>
            <w:r>
              <w:rPr>
                <w:rFonts w:hint="eastAsia" w:cs="Times New Roman"/>
                <w:b w:val="0"/>
                <w:bCs/>
                <w:color w:val="auto"/>
                <w:sz w:val="24"/>
                <w:highlight w:val="none"/>
                <w:lang w:val="en-US" w:eastAsia="zh-CN"/>
              </w:rPr>
              <w:t>软化水处理间</w:t>
            </w:r>
            <w:r>
              <w:rPr>
                <w:rFonts w:hint="default" w:ascii="Times New Roman" w:hAnsi="Times New Roman" w:eastAsia="宋体" w:cs="Times New Roman"/>
                <w:b w:val="0"/>
                <w:bCs/>
                <w:color w:val="auto"/>
                <w:sz w:val="24"/>
                <w:highlight w:val="none"/>
                <w:lang w:val="en-US" w:eastAsia="zh-CN"/>
              </w:rPr>
              <w:t>位于厂区</w:t>
            </w:r>
            <w:r>
              <w:rPr>
                <w:rFonts w:hint="eastAsia" w:cs="Times New Roman"/>
                <w:b w:val="0"/>
                <w:bCs/>
                <w:color w:val="auto"/>
                <w:sz w:val="24"/>
                <w:highlight w:val="none"/>
                <w:lang w:val="en-US" w:eastAsia="zh-CN"/>
              </w:rPr>
              <w:t>东</w:t>
            </w:r>
            <w:r>
              <w:rPr>
                <w:rFonts w:hint="default" w:ascii="Times New Roman" w:hAnsi="Times New Roman" w:cs="Times New Roman"/>
                <w:b w:val="0"/>
                <w:bCs/>
                <w:color w:val="auto"/>
                <w:sz w:val="24"/>
                <w:highlight w:val="none"/>
                <w:lang w:val="en-US" w:eastAsia="zh-CN"/>
              </w:rPr>
              <w:t>侧</w:t>
            </w:r>
            <w:r>
              <w:rPr>
                <w:rFonts w:hint="default" w:ascii="Times New Roman" w:hAnsi="Times New Roman" w:eastAsia="宋体" w:cs="Times New Roman"/>
                <w:b w:val="0"/>
                <w:bCs/>
                <w:color w:val="auto"/>
                <w:sz w:val="24"/>
                <w:highlight w:val="none"/>
                <w:lang w:val="en-US" w:eastAsia="zh-CN"/>
              </w:rPr>
              <w:t>，</w:t>
            </w:r>
            <w:r>
              <w:rPr>
                <w:rFonts w:hint="default" w:ascii="Times New Roman" w:hAnsi="Times New Roman" w:cs="Times New Roman"/>
                <w:b w:val="0"/>
                <w:bCs/>
                <w:color w:val="auto"/>
                <w:sz w:val="24"/>
                <w:highlight w:val="none"/>
                <w:lang w:val="en-US" w:eastAsia="zh-CN"/>
              </w:rPr>
              <w:t>鲜食玉米</w:t>
            </w:r>
            <w:r>
              <w:rPr>
                <w:rFonts w:hint="eastAsia" w:cs="Times New Roman"/>
                <w:b w:val="0"/>
                <w:bCs/>
                <w:color w:val="auto"/>
                <w:sz w:val="24"/>
                <w:highlight w:val="none"/>
                <w:lang w:val="en-US" w:eastAsia="zh-CN"/>
              </w:rPr>
              <w:t>生产车间</w:t>
            </w:r>
            <w:r>
              <w:rPr>
                <w:rFonts w:hint="default" w:ascii="Times New Roman" w:hAnsi="Times New Roman" w:cs="Times New Roman"/>
                <w:b w:val="0"/>
                <w:bCs/>
                <w:color w:val="auto"/>
                <w:sz w:val="24"/>
                <w:highlight w:val="none"/>
                <w:lang w:val="en-US" w:eastAsia="zh-CN"/>
              </w:rPr>
              <w:t>位于厂区</w:t>
            </w:r>
            <w:r>
              <w:rPr>
                <w:rFonts w:hint="eastAsia" w:cs="Times New Roman"/>
                <w:b w:val="0"/>
                <w:bCs/>
                <w:color w:val="auto"/>
                <w:sz w:val="24"/>
                <w:highlight w:val="none"/>
                <w:lang w:val="en-US" w:eastAsia="zh-CN"/>
              </w:rPr>
              <w:t>中</w:t>
            </w:r>
            <w:r>
              <w:rPr>
                <w:rFonts w:hint="default" w:ascii="Times New Roman" w:hAnsi="Times New Roman" w:cs="Times New Roman"/>
                <w:b w:val="0"/>
                <w:bCs/>
                <w:color w:val="auto"/>
                <w:sz w:val="24"/>
                <w:highlight w:val="none"/>
                <w:lang w:val="en-US" w:eastAsia="zh-CN"/>
              </w:rPr>
              <w:t>侧，</w:t>
            </w:r>
            <w:r>
              <w:rPr>
                <w:rFonts w:hint="eastAsia" w:cs="Times New Roman"/>
                <w:b w:val="0"/>
                <w:bCs/>
                <w:color w:val="auto"/>
                <w:sz w:val="24"/>
                <w:highlight w:val="none"/>
                <w:lang w:val="en-US" w:eastAsia="zh-CN"/>
              </w:rPr>
              <w:t>食堂位于厂区南侧。</w:t>
            </w:r>
            <w:r>
              <w:rPr>
                <w:rFonts w:hint="default" w:ascii="Times New Roman" w:hAnsi="Times New Roman" w:eastAsia="宋体" w:cs="Times New Roman"/>
                <w:b w:val="0"/>
                <w:bCs/>
                <w:color w:val="auto"/>
                <w:sz w:val="24"/>
                <w:highlight w:val="none"/>
                <w:lang w:val="en-US" w:eastAsia="zh-CN"/>
              </w:rPr>
              <w:t>厂区平面布置图</w:t>
            </w:r>
            <w:r>
              <w:rPr>
                <w:rFonts w:hint="default" w:ascii="Times New Roman" w:hAnsi="Times New Roman" w:eastAsia="宋体" w:cs="Times New Roman"/>
                <w:b w:val="0"/>
                <w:bCs/>
                <w:color w:val="auto"/>
                <w:sz w:val="24"/>
                <w:highlight w:val="none"/>
                <w:shd w:val="clear"/>
                <w:lang w:val="en-US" w:eastAsia="zh-CN"/>
              </w:rPr>
              <w:t>见附图</w:t>
            </w:r>
            <w:r>
              <w:rPr>
                <w:rFonts w:hint="default" w:ascii="Times New Roman" w:hAnsi="Times New Roman" w:cs="Times New Roman"/>
                <w:b w:val="0"/>
                <w:bCs/>
                <w:color w:val="auto"/>
                <w:sz w:val="24"/>
                <w:highlight w:val="none"/>
                <w:shd w:val="clear"/>
                <w:lang w:val="en-US" w:eastAsia="zh-CN"/>
              </w:rPr>
              <w:t>2</w:t>
            </w:r>
            <w:r>
              <w:rPr>
                <w:rFonts w:hint="default" w:ascii="Times New Roman" w:hAnsi="Times New Roman" w:eastAsia="宋体" w:cs="Times New Roman"/>
                <w:b w:val="0"/>
                <w:bCs/>
                <w:color w:val="auto"/>
                <w:sz w:val="24"/>
                <w:highlight w:val="none"/>
                <w:lang w:val="en-US" w:eastAsia="zh-CN"/>
              </w:rPr>
              <w:t>。综上所述，本项目总图布置按照不同功能，合理分区布置，布置紧凑，节约用地，便于管理，同时满足工艺要求，平面布置基本合理。</w:t>
            </w:r>
          </w:p>
          <w:p>
            <w:p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8、环保投资</w:t>
            </w:r>
          </w:p>
          <w:p>
            <w:p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b w:val="0"/>
                <w:bCs/>
                <w:color w:val="auto"/>
                <w:sz w:val="24"/>
                <w:highlight w:val="none"/>
                <w:lang w:val="en-US" w:eastAsia="zh-CN"/>
              </w:rPr>
              <w:t>本项目总投资1000万，环保投资1</w:t>
            </w:r>
            <w:r>
              <w:rPr>
                <w:rFonts w:hint="eastAsia" w:cs="Times New Roman"/>
                <w:b w:val="0"/>
                <w:bCs/>
                <w:color w:val="auto"/>
                <w:sz w:val="24"/>
                <w:highlight w:val="none"/>
                <w:lang w:val="en-US" w:eastAsia="zh-CN"/>
              </w:rPr>
              <w:t>7</w:t>
            </w:r>
            <w:r>
              <w:rPr>
                <w:rFonts w:hint="default" w:ascii="Times New Roman" w:hAnsi="Times New Roman" w:cs="Times New Roman"/>
                <w:b w:val="0"/>
                <w:bCs/>
                <w:color w:val="auto"/>
                <w:sz w:val="24"/>
                <w:highlight w:val="none"/>
                <w:lang w:val="en-US" w:eastAsia="zh-CN"/>
              </w:rPr>
              <w:t>万，环保投资占总投资比例为1.</w:t>
            </w:r>
            <w:r>
              <w:rPr>
                <w:rFonts w:hint="eastAsia" w:cs="Times New Roman"/>
                <w:b w:val="0"/>
                <w:bCs/>
                <w:color w:val="auto"/>
                <w:sz w:val="24"/>
                <w:highlight w:val="none"/>
                <w:lang w:val="en-US" w:eastAsia="zh-CN"/>
              </w:rPr>
              <w:t>7</w:t>
            </w:r>
            <w:r>
              <w:rPr>
                <w:rFonts w:hint="default" w:ascii="Times New Roman" w:hAnsi="Times New Roman" w:cs="Times New Roman"/>
                <w:b w:val="0"/>
                <w:bCs/>
                <w:color w:val="auto"/>
                <w:sz w:val="24"/>
                <w:highlight w:val="none"/>
                <w:lang w:val="en-US" w:eastAsia="zh-CN"/>
              </w:rPr>
              <w:t>%，本</w:t>
            </w:r>
            <w:r>
              <w:rPr>
                <w:rFonts w:hint="default" w:ascii="Times New Roman" w:hAnsi="Times New Roman" w:eastAsia="宋体" w:cs="Times New Roman"/>
                <w:b w:val="0"/>
                <w:bCs/>
                <w:color w:val="auto"/>
                <w:sz w:val="24"/>
                <w:highlight w:val="none"/>
                <w:lang w:val="en-US" w:eastAsia="zh-CN"/>
              </w:rPr>
              <w:t>项目环保投资具体情况参见下表。</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w:t>
            </w:r>
            <w:r>
              <w:rPr>
                <w:rFonts w:hint="default" w:ascii="Times New Roman" w:hAnsi="Times New Roman" w:cs="Times New Roman" w:eastAsiaTheme="minorEastAsia"/>
                <w:b/>
                <w:bCs/>
                <w:color w:val="auto"/>
                <w:sz w:val="21"/>
                <w:szCs w:val="24"/>
                <w:lang w:val="en-US" w:eastAsia="zh-CN"/>
              </w:rPr>
              <w:t xml:space="preserve">6  </w:t>
            </w:r>
            <w:r>
              <w:rPr>
                <w:rFonts w:hint="default" w:ascii="Times New Roman" w:hAnsi="Times New Roman" w:cs="Times New Roman" w:eastAsiaTheme="minorEastAsia"/>
                <w:b/>
                <w:bCs/>
                <w:color w:val="auto"/>
                <w:sz w:val="21"/>
                <w:szCs w:val="24"/>
              </w:rPr>
              <w:t>环保投资一览表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903"/>
              <w:gridCol w:w="4074"/>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1135"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治理对象</w:t>
                  </w:r>
                </w:p>
              </w:tc>
              <w:tc>
                <w:tcPr>
                  <w:tcW w:w="2430"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c>
                <w:tcPr>
                  <w:tcW w:w="565"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投资</w:t>
                  </w:r>
                </w:p>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868"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水污染治理</w:t>
                  </w: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2430" w:type="pct"/>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30m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的密闭储罐</w:t>
                  </w:r>
                  <w:r>
                    <w:rPr>
                      <w:rFonts w:hint="default" w:ascii="Times New Roman" w:hAnsi="Times New Roman" w:cs="Times New Roman"/>
                      <w:sz w:val="21"/>
                      <w:szCs w:val="21"/>
                      <w:lang w:val="en-US" w:eastAsia="zh-CN"/>
                    </w:rPr>
                    <w:t>+送至污水处理厂处理</w:t>
                  </w:r>
                </w:p>
              </w:tc>
              <w:tc>
                <w:tcPr>
                  <w:tcW w:w="565" w:type="pct"/>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868" w:type="pct"/>
                  <w:vAlign w:val="center"/>
                </w:tcPr>
                <w:p>
                  <w:pPr>
                    <w:ind w:left="-84" w:leftChars="-40" w:right="-84" w:rightChars="-40"/>
                    <w:jc w:val="center"/>
                    <w:rPr>
                      <w:rFonts w:hint="default" w:ascii="Times New Roman" w:hAnsi="Times New Roman" w:cs="Times New Roman"/>
                      <w:sz w:val="21"/>
                      <w:szCs w:val="21"/>
                    </w:rPr>
                  </w:pPr>
                  <w:r>
                    <w:rPr>
                      <w:rFonts w:hint="default" w:ascii="Times New Roman" w:hAnsi="Times New Roman" w:cs="Times New Roman"/>
                      <w:sz w:val="21"/>
                      <w:szCs w:val="21"/>
                    </w:rPr>
                    <w:t>大气污染治理</w:t>
                  </w: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2430" w:type="pct"/>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rPr>
                    <w:t>锅炉烟气经布袋除尘器（效率</w:t>
                  </w:r>
                  <w:r>
                    <w:rPr>
                      <w:rFonts w:hint="eastAsia" w:cs="Times New Roman"/>
                      <w:sz w:val="21"/>
                      <w:szCs w:val="21"/>
                      <w:lang w:eastAsia="zh-CN"/>
                    </w:rPr>
                    <w:t>99.2%</w:t>
                  </w:r>
                  <w:r>
                    <w:rPr>
                      <w:rFonts w:hint="default" w:ascii="Times New Roman" w:hAnsi="Times New Roman" w:cs="Times New Roman"/>
                      <w:sz w:val="21"/>
                      <w:szCs w:val="21"/>
                    </w:rPr>
                    <w:t>）处理后通过3</w:t>
                  </w:r>
                  <w:r>
                    <w:rPr>
                      <w:rFonts w:hint="default" w:ascii="Times New Roman" w:hAnsi="Times New Roman" w:cs="Times New Roman"/>
                      <w:sz w:val="21"/>
                      <w:szCs w:val="21"/>
                      <w:lang w:val="en-US" w:eastAsia="zh-CN"/>
                    </w:rPr>
                    <w:t>5m</w:t>
                  </w:r>
                  <w:r>
                    <w:rPr>
                      <w:rFonts w:hint="default" w:ascii="Times New Roman" w:hAnsi="Times New Roman" w:cs="Times New Roman"/>
                      <w:sz w:val="21"/>
                      <w:szCs w:val="21"/>
                    </w:rPr>
                    <w:t>高烟囱（DA001）排放；食堂安装油烟净化器进行净化，净化效率</w:t>
                  </w:r>
                  <w:r>
                    <w:rPr>
                      <w:rFonts w:hint="default" w:ascii="Times New Roman" w:hAnsi="Times New Roman" w:cs="Times New Roman"/>
                      <w:sz w:val="21"/>
                      <w:szCs w:val="21"/>
                      <w:lang w:val="en-US" w:eastAsia="zh-CN"/>
                    </w:rPr>
                    <w:t>75</w:t>
                  </w:r>
                  <w:r>
                    <w:rPr>
                      <w:rFonts w:hint="default" w:ascii="Times New Roman" w:hAnsi="Times New Roman" w:cs="Times New Roman"/>
                      <w:sz w:val="21"/>
                      <w:szCs w:val="21"/>
                    </w:rPr>
                    <w:t>%，油烟废气经油烟净化器处理后达标排放。</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噪声污染防治</w:t>
                  </w: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设备噪声</w:t>
                  </w:r>
                </w:p>
              </w:tc>
              <w:tc>
                <w:tcPr>
                  <w:tcW w:w="2430" w:type="pct"/>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设备安装</w:t>
                  </w:r>
                  <w:r>
                    <w:rPr>
                      <w:rFonts w:hint="default" w:ascii="Times New Roman" w:hAnsi="Times New Roman" w:cs="Times New Roman"/>
                      <w:sz w:val="21"/>
                      <w:szCs w:val="21"/>
                    </w:rPr>
                    <w:t>基础</w:t>
                  </w:r>
                  <w:r>
                    <w:rPr>
                      <w:rFonts w:hint="default" w:ascii="Times New Roman" w:hAnsi="Times New Roman" w:cs="Times New Roman"/>
                      <w:sz w:val="21"/>
                      <w:szCs w:val="21"/>
                      <w:lang w:eastAsia="zh-CN"/>
                    </w:rPr>
                    <w:t>减振</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243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1个垃圾桶，集中收集，交由市政部门处理</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Merge w:val="continue"/>
                  <w:vAlign w:val="center"/>
                </w:tcPr>
                <w:p>
                  <w:pPr>
                    <w:jc w:val="center"/>
                    <w:rPr>
                      <w:rFonts w:hint="default" w:ascii="Times New Roman" w:hAnsi="Times New Roman" w:cs="Times New Roman"/>
                      <w:sz w:val="21"/>
                      <w:szCs w:val="21"/>
                    </w:rPr>
                  </w:pP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废纸箱及废包装袋</w:t>
                  </w:r>
                </w:p>
              </w:tc>
              <w:tc>
                <w:tcPr>
                  <w:tcW w:w="2430" w:type="pct"/>
                  <w:vAlign w:val="center"/>
                </w:tcPr>
                <w:p>
                  <w:pPr>
                    <w:jc w:val="center"/>
                    <w:rPr>
                      <w:rFonts w:hint="default" w:ascii="Times New Roman" w:hAnsi="Times New Roman" w:cs="Times New Roman"/>
                      <w:sz w:val="21"/>
                      <w:szCs w:val="21"/>
                    </w:rPr>
                  </w:pPr>
                  <w:r>
                    <w:rPr>
                      <w:rFonts w:hint="default" w:ascii="Times New Roman" w:hAnsi="Times New Roman" w:cs="Times New Roman"/>
                      <w:bCs/>
                      <w:sz w:val="21"/>
                      <w:szCs w:val="21"/>
                      <w:highlight w:val="none"/>
                    </w:rPr>
                    <w:t>暂存于生产车间固废暂存区</w:t>
                  </w:r>
                  <w:r>
                    <w:rPr>
                      <w:rFonts w:hint="eastAsia" w:cs="Times New Roman"/>
                      <w:bCs/>
                      <w:sz w:val="21"/>
                      <w:szCs w:val="21"/>
                      <w:highlight w:val="none"/>
                      <w:lang w:eastAsia="zh-CN"/>
                    </w:rPr>
                    <w:t>，</w:t>
                  </w:r>
                  <w:r>
                    <w:rPr>
                      <w:rFonts w:hint="default" w:ascii="Times New Roman" w:hAnsi="Times New Roman" w:cs="Times New Roman"/>
                      <w:sz w:val="21"/>
                      <w:szCs w:val="21"/>
                    </w:rPr>
                    <w:t>集中收集，外售综合利用</w:t>
                  </w:r>
                </w:p>
              </w:tc>
              <w:tc>
                <w:tcPr>
                  <w:tcW w:w="565"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Merge w:val="continue"/>
                  <w:vAlign w:val="center"/>
                </w:tcPr>
                <w:p>
                  <w:pPr>
                    <w:jc w:val="center"/>
                    <w:rPr>
                      <w:rFonts w:hint="default" w:ascii="Times New Roman" w:hAnsi="Times New Roman" w:cs="Times New Roman"/>
                      <w:sz w:val="21"/>
                      <w:szCs w:val="21"/>
                    </w:rPr>
                  </w:pPr>
                </w:p>
              </w:tc>
              <w:tc>
                <w:tcPr>
                  <w:tcW w:w="113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玉米叶、玉米须、不合格的果穗、青穗以及废弃玉米段</w:t>
                  </w:r>
                </w:p>
              </w:tc>
              <w:tc>
                <w:tcPr>
                  <w:tcW w:w="2430" w:type="pct"/>
                  <w:vAlign w:val="center"/>
                </w:tcPr>
                <w:p>
                  <w:pPr>
                    <w:jc w:val="center"/>
                    <w:rPr>
                      <w:rFonts w:hint="default" w:ascii="Times New Roman" w:hAnsi="Times New Roman" w:cs="Times New Roman"/>
                      <w:sz w:val="21"/>
                      <w:szCs w:val="21"/>
                    </w:rPr>
                  </w:pPr>
                  <w:r>
                    <w:rPr>
                      <w:rFonts w:hint="default" w:ascii="Times New Roman" w:hAnsi="Times New Roman" w:cs="Times New Roman"/>
                      <w:bCs/>
                      <w:sz w:val="21"/>
                      <w:szCs w:val="21"/>
                      <w:highlight w:val="none"/>
                    </w:rPr>
                    <w:t>暂存于生产车间固废暂存区</w:t>
                  </w:r>
                  <w:r>
                    <w:rPr>
                      <w:rFonts w:hint="eastAsia" w:cs="Times New Roman"/>
                      <w:bCs/>
                      <w:sz w:val="21"/>
                      <w:szCs w:val="21"/>
                      <w:highlight w:val="none"/>
                      <w:lang w:eastAsia="zh-CN"/>
                    </w:rPr>
                    <w:t>，</w:t>
                  </w:r>
                  <w:r>
                    <w:rPr>
                      <w:rFonts w:hint="default" w:ascii="Times New Roman" w:hAnsi="Times New Roman" w:cs="Times New Roman"/>
                      <w:sz w:val="21"/>
                      <w:szCs w:val="21"/>
                    </w:rPr>
                    <w:t>集中收集，外售用作饲料</w:t>
                  </w:r>
                </w:p>
              </w:tc>
              <w:tc>
                <w:tcPr>
                  <w:tcW w:w="565"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868" w:type="pct"/>
                  <w:vMerge w:val="continue"/>
                  <w:vAlign w:val="center"/>
                </w:tcPr>
                <w:p>
                  <w:pPr>
                    <w:jc w:val="center"/>
                    <w:rPr>
                      <w:rFonts w:hint="default" w:ascii="Times New Roman" w:hAnsi="Times New Roman" w:cs="Times New Roman"/>
                      <w:sz w:val="21"/>
                      <w:szCs w:val="21"/>
                    </w:rPr>
                  </w:pPr>
                </w:p>
              </w:tc>
              <w:tc>
                <w:tcPr>
                  <w:tcW w:w="1135" w:type="pct"/>
                  <w:vAlign w:val="center"/>
                </w:tcPr>
                <w:p>
                  <w:pPr>
                    <w:jc w:val="center"/>
                    <w:textAlignment w:val="center"/>
                    <w:rPr>
                      <w:rFonts w:hint="default" w:ascii="Times New Roman" w:hAnsi="Times New Roman" w:cs="Times New Roman"/>
                      <w:sz w:val="21"/>
                      <w:szCs w:val="21"/>
                    </w:rPr>
                  </w:pPr>
                  <w:r>
                    <w:rPr>
                      <w:rFonts w:hint="default" w:ascii="Times New Roman" w:hAnsi="Times New Roman" w:cs="Times New Roman"/>
                      <w:bCs/>
                      <w:sz w:val="21"/>
                      <w:szCs w:val="21"/>
                    </w:rPr>
                    <w:t>锅炉灰渣与布袋除尘器收尘</w:t>
                  </w:r>
                </w:p>
              </w:tc>
              <w:tc>
                <w:tcPr>
                  <w:tcW w:w="2430" w:type="pct"/>
                  <w:vAlign w:val="center"/>
                </w:tcPr>
                <w:p>
                  <w:pPr>
                    <w:jc w:val="center"/>
                    <w:textAlignment w:val="center"/>
                    <w:rPr>
                      <w:rFonts w:hint="default" w:ascii="Times New Roman" w:hAnsi="Times New Roman" w:cs="Times New Roman"/>
                      <w:sz w:val="21"/>
                      <w:szCs w:val="21"/>
                    </w:rPr>
                  </w:pPr>
                  <w:r>
                    <w:rPr>
                      <w:rFonts w:hint="default" w:ascii="Times New Roman" w:hAnsi="Times New Roman" w:cs="Times New Roman"/>
                      <w:bCs/>
                      <w:sz w:val="21"/>
                      <w:szCs w:val="21"/>
                      <w:lang w:eastAsia="zh-CN"/>
                    </w:rPr>
                    <w:t>封闭</w:t>
                  </w:r>
                  <w:r>
                    <w:rPr>
                      <w:rFonts w:hint="default" w:ascii="Times New Roman" w:hAnsi="Times New Roman" w:cs="Times New Roman"/>
                      <w:bCs/>
                      <w:sz w:val="21"/>
                      <w:szCs w:val="21"/>
                    </w:rPr>
                    <w:t>灰渣间</w:t>
                  </w:r>
                </w:p>
              </w:tc>
              <w:tc>
                <w:tcPr>
                  <w:tcW w:w="565" w:type="pc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868" w:type="pct"/>
                  <w:vMerge w:val="continue"/>
                  <w:vAlign w:val="center"/>
                </w:tcPr>
                <w:p>
                  <w:pPr>
                    <w:jc w:val="center"/>
                    <w:rPr>
                      <w:rFonts w:hint="default" w:ascii="Times New Roman" w:hAnsi="Times New Roman" w:cs="Times New Roman"/>
                      <w:sz w:val="21"/>
                      <w:szCs w:val="21"/>
                    </w:rPr>
                  </w:pPr>
                </w:p>
              </w:tc>
              <w:tc>
                <w:tcPr>
                  <w:tcW w:w="1135" w:type="pct"/>
                  <w:vAlign w:val="center"/>
                </w:tcPr>
                <w:p>
                  <w:pPr>
                    <w:jc w:val="center"/>
                    <w:textAlignment w:val="center"/>
                    <w:rPr>
                      <w:rFonts w:hint="default" w:ascii="Times New Roman" w:hAnsi="Times New Roman" w:cs="Times New Roman"/>
                      <w:sz w:val="21"/>
                      <w:szCs w:val="21"/>
                    </w:rPr>
                  </w:pPr>
                  <w:r>
                    <w:rPr>
                      <w:rFonts w:hint="default" w:ascii="Times New Roman" w:hAnsi="Times New Roman" w:cs="Times New Roman"/>
                      <w:bCs/>
                      <w:sz w:val="21"/>
                      <w:szCs w:val="21"/>
                      <w:lang w:eastAsia="zh-CN"/>
                    </w:rPr>
                    <w:t>除尘器废布袋、</w:t>
                  </w:r>
                  <w:r>
                    <w:rPr>
                      <w:rFonts w:hint="default" w:ascii="Times New Roman" w:hAnsi="Times New Roman" w:cs="Times New Roman"/>
                      <w:bCs/>
                      <w:sz w:val="21"/>
                      <w:szCs w:val="21"/>
                    </w:rPr>
                    <w:t>废离子交换树脂</w:t>
                  </w:r>
                </w:p>
              </w:tc>
              <w:tc>
                <w:tcPr>
                  <w:tcW w:w="2430" w:type="pct"/>
                  <w:vAlign w:val="center"/>
                </w:tcPr>
                <w:p>
                  <w:pPr>
                    <w:jc w:val="center"/>
                    <w:textAlignment w:val="center"/>
                    <w:rPr>
                      <w:rFonts w:hint="default" w:ascii="Times New Roman" w:hAnsi="Times New Roman" w:cs="Times New Roman"/>
                      <w:sz w:val="21"/>
                      <w:szCs w:val="21"/>
                    </w:rPr>
                  </w:pPr>
                  <w:r>
                    <w:rPr>
                      <w:rFonts w:hint="default" w:ascii="Times New Roman" w:hAnsi="Times New Roman" w:cs="Times New Roman"/>
                      <w:bCs/>
                      <w:sz w:val="21"/>
                      <w:szCs w:val="21"/>
                    </w:rPr>
                    <w:t>由厂家回收再利用</w:t>
                  </w:r>
                </w:p>
              </w:tc>
              <w:tc>
                <w:tcPr>
                  <w:tcW w:w="56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环保投资合计（万元）</w:t>
                  </w:r>
                </w:p>
              </w:tc>
              <w:tc>
                <w:tcPr>
                  <w:tcW w:w="4131" w:type="pct"/>
                  <w:gridSpan w:val="3"/>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r>
                    <w:rPr>
                      <w:rFonts w:hint="eastAsia"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86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总投资（</w:t>
                  </w:r>
                  <w:r>
                    <w:rPr>
                      <w:rFonts w:hint="default" w:ascii="Times New Roman" w:hAnsi="Times New Roman" w:cs="Times New Roman"/>
                      <w:spacing w:val="-20"/>
                      <w:sz w:val="21"/>
                      <w:szCs w:val="21"/>
                    </w:rPr>
                    <w:t>万元）</w:t>
                  </w:r>
                </w:p>
              </w:tc>
              <w:tc>
                <w:tcPr>
                  <w:tcW w:w="4131" w:type="pct"/>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占总投资比例（%）</w:t>
                  </w:r>
                </w:p>
              </w:tc>
              <w:tc>
                <w:tcPr>
                  <w:tcW w:w="4131" w:type="pct"/>
                  <w:gridSpan w:val="3"/>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1.</w:t>
                  </w:r>
                  <w:r>
                    <w:rPr>
                      <w:rFonts w:hint="eastAsia" w:cs="Times New Roman"/>
                      <w:sz w:val="21"/>
                      <w:szCs w:val="21"/>
                      <w:lang w:val="en-US" w:eastAsia="zh-CN"/>
                    </w:rPr>
                    <w:t>7</w:t>
                  </w:r>
                </w:p>
              </w:tc>
            </w:tr>
          </w:tbl>
          <w:p>
            <w:pPr>
              <w:spacing w:line="360" w:lineRule="auto"/>
              <w:contextualSpacing/>
              <w:rPr>
                <w:rFonts w:hint="default" w:ascii="Times New Roman" w:hAnsi="Times New Roman" w:cs="Times New Roman" w:eastAsiaTheme="minor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448"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8612" w:type="dxa"/>
          </w:tcPr>
          <w:p>
            <w:pPr>
              <w:spacing w:line="360" w:lineRule="auto"/>
              <w:contextualSpacing/>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营运期工程分析</w:t>
            </w:r>
          </w:p>
          <w:p>
            <w:pPr>
              <w:pStyle w:val="44"/>
              <w:spacing w:after="120" w:afterLines="50" w:line="360" w:lineRule="auto"/>
              <w:ind w:left="480" w:firstLine="0" w:firstLineChars="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运营期工艺流程及产污节点图如下：</w:t>
            </w:r>
          </w:p>
          <w:p>
            <w:pPr>
              <w:pStyle w:val="29"/>
              <w:spacing w:line="360" w:lineRule="auto"/>
              <w:ind w:firstLine="0" w:firstLineChars="0"/>
              <w:jc w:val="center"/>
              <w:rPr>
                <w:rFonts w:hint="default" w:ascii="Times New Roman" w:hAnsi="Times New Roman" w:cs="Times New Roman"/>
              </w:rPr>
            </w:pPr>
            <w:r>
              <w:drawing>
                <wp:inline distT="0" distB="0" distL="114300" distR="114300">
                  <wp:extent cx="4810125" cy="6296025"/>
                  <wp:effectExtent l="0" t="0" r="9525" b="9525"/>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10"/>
                          <a:stretch>
                            <a:fillRect/>
                          </a:stretch>
                        </pic:blipFill>
                        <pic:spPr>
                          <a:xfrm>
                            <a:off x="0" y="0"/>
                            <a:ext cx="4810125" cy="6296025"/>
                          </a:xfrm>
                          <a:prstGeom prst="rect">
                            <a:avLst/>
                          </a:prstGeom>
                          <a:noFill/>
                          <a:ln>
                            <a:noFill/>
                          </a:ln>
                        </pic:spPr>
                      </pic:pic>
                    </a:graphicData>
                  </a:graphic>
                </wp:inline>
              </w:drawing>
            </w:r>
          </w:p>
          <w:p>
            <w:pPr>
              <w:pStyle w:val="68"/>
              <w:spacing w:line="36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图2-2  生产工艺流程及产排污节点图</w:t>
            </w:r>
          </w:p>
          <w:p>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生产工艺简述：</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1）原料的采收：一般鲜玉米品种的采摘期为花丝抽出后的23-25天。此时玉米处乳熟期，加工品质最佳。采摘后鲜玉米应及时运送到加工厂进行加工，防止雨淋和曝晒，并最大限度地降低</w:t>
            </w:r>
            <w:r>
              <w:rPr>
                <w:rFonts w:hint="eastAsia" w:ascii="Times New Roman" w:hAnsi="Times New Roman" w:cs="Times New Roman"/>
                <w:b w:val="0"/>
                <w:bCs w:val="0"/>
                <w:sz w:val="24"/>
                <w:szCs w:val="24"/>
                <w:lang w:eastAsia="zh-CN"/>
              </w:rPr>
              <w:t>机</w:t>
            </w:r>
            <w:r>
              <w:rPr>
                <w:rFonts w:hint="default" w:ascii="Times New Roman" w:hAnsi="Times New Roman" w:cs="Times New Roman"/>
                <w:b w:val="0"/>
                <w:bCs w:val="0"/>
                <w:sz w:val="24"/>
                <w:szCs w:val="24"/>
              </w:rPr>
              <w:t>械损伤。将玉米藏通风凉爽处短时存放，切不可堆积。从采摘到加工间的时间一般应控制在8小时之内，提倡边采收边加工。</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2）剥皮：采用机械剥皮，直接剥去苞叶，在剥包过程中应除净玉米须。项目玉米均为鲜玉米，剥皮无灰尘产生，该工序产生的主要污染物为玉米叶、玉米须固废以及机械设备噪声。</w:t>
            </w:r>
          </w:p>
          <w:p>
            <w:pPr>
              <w:pStyle w:val="80"/>
              <w:spacing w:line="360" w:lineRule="auto"/>
              <w:rPr>
                <w:rFonts w:hint="default" w:ascii="Times New Roman" w:hAnsi="Times New Roman" w:eastAsia="宋体" w:cs="Times New Roman"/>
                <w:b w:val="0"/>
                <w:bCs w:val="0"/>
                <w:sz w:val="24"/>
                <w:szCs w:val="24"/>
                <w:lang w:eastAsia="zh-CN"/>
              </w:rPr>
            </w:pPr>
            <w:r>
              <w:rPr>
                <w:rFonts w:hint="default" w:ascii="Times New Roman" w:hAnsi="Times New Roman" w:cs="Times New Roman"/>
                <w:b w:val="0"/>
                <w:bCs w:val="0"/>
                <w:sz w:val="24"/>
                <w:szCs w:val="24"/>
              </w:rPr>
              <w:t>3）</w:t>
            </w:r>
            <w:r>
              <w:rPr>
                <w:rFonts w:hint="default" w:ascii="Times New Roman" w:hAnsi="Times New Roman" w:cs="Times New Roman"/>
                <w:b w:val="0"/>
                <w:bCs w:val="0"/>
                <w:sz w:val="24"/>
                <w:szCs w:val="24"/>
                <w:lang w:eastAsia="zh-CN"/>
              </w:rPr>
              <w:t>挑选、切尖、去尾</w:t>
            </w:r>
            <w:r>
              <w:rPr>
                <w:rFonts w:hint="default" w:ascii="Times New Roman" w:hAnsi="Times New Roman" w:cs="Times New Roman"/>
                <w:b w:val="0"/>
                <w:bCs w:val="0"/>
                <w:sz w:val="24"/>
                <w:szCs w:val="24"/>
              </w:rPr>
              <w:t>：根据产品标准，去除</w:t>
            </w:r>
            <w:r>
              <w:rPr>
                <w:rFonts w:hint="eastAsia" w:ascii="Times New Roman" w:hAnsi="Times New Roman" w:cs="Times New Roman"/>
                <w:b w:val="0"/>
                <w:bCs w:val="0"/>
                <w:sz w:val="24"/>
                <w:szCs w:val="24"/>
                <w:lang w:eastAsia="zh-CN"/>
              </w:rPr>
              <w:t>畸形</w:t>
            </w:r>
            <w:r>
              <w:rPr>
                <w:rFonts w:hint="default" w:ascii="Times New Roman" w:hAnsi="Times New Roman" w:cs="Times New Roman"/>
                <w:b w:val="0"/>
                <w:bCs w:val="0"/>
                <w:sz w:val="24"/>
                <w:szCs w:val="24"/>
              </w:rPr>
              <w:t>，短小等不能加工的果穗，同时挑出成熟度不适宜及严重脱粒、干瘪、有病虫害的青穗。</w:t>
            </w:r>
            <w:r>
              <w:rPr>
                <w:rFonts w:hint="default" w:ascii="Times New Roman" w:hAnsi="Times New Roman" w:cs="Times New Roman"/>
                <w:b w:val="0"/>
                <w:bCs w:val="0"/>
                <w:sz w:val="24"/>
                <w:szCs w:val="24"/>
                <w:lang w:eastAsia="zh-CN"/>
              </w:rPr>
              <w:t>用去头尾机</w:t>
            </w:r>
            <w:r>
              <w:rPr>
                <w:rFonts w:hint="default" w:ascii="Times New Roman" w:hAnsi="Times New Roman" w:cs="Times New Roman"/>
                <w:b w:val="0"/>
                <w:bCs w:val="0"/>
                <w:sz w:val="24"/>
                <w:szCs w:val="24"/>
              </w:rPr>
              <w:t>将鲜玉米穗的头尾按各产品要求的长度严格控制在17厘米、14厘米、12厘米左右。这些淘汰的果穗</w:t>
            </w:r>
            <w:r>
              <w:rPr>
                <w:rFonts w:hint="default" w:ascii="Times New Roman" w:hAnsi="Times New Roman" w:cs="Times New Roman"/>
                <w:b w:val="0"/>
                <w:bCs w:val="0"/>
                <w:sz w:val="24"/>
                <w:szCs w:val="24"/>
                <w:lang w:eastAsia="zh-CN"/>
              </w:rPr>
              <w:t>和</w:t>
            </w:r>
            <w:r>
              <w:rPr>
                <w:rFonts w:hint="default" w:ascii="Times New Roman" w:hAnsi="Times New Roman" w:cs="Times New Roman"/>
                <w:b w:val="0"/>
                <w:bCs w:val="0"/>
                <w:sz w:val="24"/>
                <w:szCs w:val="24"/>
              </w:rPr>
              <w:t>废弃玉米段可作加工</w:t>
            </w:r>
            <w:r>
              <w:rPr>
                <w:rFonts w:hint="eastAsia" w:ascii="Times New Roman" w:hAnsi="Times New Roman" w:cs="Times New Roman"/>
                <w:b w:val="0"/>
                <w:bCs w:val="0"/>
                <w:sz w:val="24"/>
                <w:szCs w:val="24"/>
                <w:lang w:eastAsia="zh-CN"/>
              </w:rPr>
              <w:t>其他产品的</w:t>
            </w:r>
            <w:r>
              <w:rPr>
                <w:rFonts w:hint="default" w:ascii="Times New Roman" w:hAnsi="Times New Roman" w:cs="Times New Roman"/>
                <w:b w:val="0"/>
                <w:bCs w:val="0"/>
                <w:sz w:val="24"/>
                <w:szCs w:val="24"/>
              </w:rPr>
              <w:t>原料开发利用。该工序产生的污染物为不合格的果穗、青穗</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废弃玉米段以及机械设备噪声</w:t>
            </w:r>
            <w:r>
              <w:rPr>
                <w:rFonts w:hint="default" w:ascii="Times New Roman" w:hAnsi="Times New Roman" w:cs="Times New Roman"/>
                <w:b w:val="0"/>
                <w:bCs w:val="0"/>
                <w:sz w:val="24"/>
                <w:szCs w:val="24"/>
                <w:lang w:eastAsia="zh-CN"/>
              </w:rPr>
              <w:t>。</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4）清洗：将鲜玉米穗放入清水中冲洗5分钟。该工序产生的污染物为清洗废水及设备噪声。</w:t>
            </w:r>
          </w:p>
          <w:p>
            <w:pPr>
              <w:pStyle w:val="80"/>
              <w:spacing w:line="360" w:lineRule="auto"/>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val="0"/>
                <w:bCs w:val="0"/>
                <w:sz w:val="24"/>
                <w:szCs w:val="24"/>
              </w:rPr>
              <w:t>5）</w:t>
            </w:r>
            <w:r>
              <w:rPr>
                <w:rFonts w:hint="default" w:ascii="Times New Roman" w:hAnsi="Times New Roman" w:cs="Times New Roman"/>
                <w:b w:val="0"/>
                <w:bCs w:val="0"/>
                <w:sz w:val="24"/>
                <w:szCs w:val="24"/>
                <w:lang w:eastAsia="zh-CN"/>
              </w:rPr>
              <w:t>真空包装：将清洗后的</w:t>
            </w:r>
            <w:r>
              <w:rPr>
                <w:rFonts w:hint="default" w:ascii="Times New Roman" w:hAnsi="Times New Roman" w:cs="Times New Roman"/>
                <w:b w:val="0"/>
                <w:bCs w:val="0"/>
                <w:sz w:val="24"/>
                <w:szCs w:val="24"/>
              </w:rPr>
              <w:t>鲜玉米穗</w:t>
            </w:r>
            <w:r>
              <w:rPr>
                <w:rFonts w:hint="default" w:ascii="Times New Roman" w:hAnsi="Times New Roman" w:cs="Times New Roman"/>
                <w:b w:val="0"/>
                <w:bCs w:val="0"/>
                <w:sz w:val="24"/>
                <w:szCs w:val="24"/>
                <w:lang w:eastAsia="zh-CN"/>
              </w:rPr>
              <w:t>真空包装，</w:t>
            </w:r>
            <w:r>
              <w:rPr>
                <w:rFonts w:hint="default"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lang w:eastAsia="zh-CN"/>
              </w:rPr>
              <w:t>穗</w:t>
            </w:r>
            <w:r>
              <w:rPr>
                <w:rFonts w:hint="default" w:ascii="Times New Roman" w:hAnsi="Times New Roman" w:cs="Times New Roman"/>
                <w:b w:val="0"/>
                <w:bCs w:val="0"/>
                <w:sz w:val="24"/>
                <w:szCs w:val="24"/>
                <w:lang w:val="en-US" w:eastAsia="zh-CN"/>
              </w:rPr>
              <w:t>1袋。</w:t>
            </w:r>
            <w:r>
              <w:rPr>
                <w:rFonts w:hint="default" w:ascii="Times New Roman" w:hAnsi="Times New Roman" w:cs="Times New Roman"/>
                <w:b w:val="0"/>
                <w:bCs w:val="0"/>
                <w:sz w:val="24"/>
                <w:szCs w:val="24"/>
              </w:rPr>
              <w:t>该工序产生的污染物为废弃包装袋及设备噪声。</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6</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高温灭菌</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高温灭菌</w:t>
            </w:r>
            <w:r>
              <w:rPr>
                <w:rFonts w:hint="default" w:ascii="Times New Roman" w:hAnsi="Times New Roman" w:cs="Times New Roman"/>
                <w:b w:val="0"/>
                <w:bCs w:val="0"/>
                <w:sz w:val="24"/>
                <w:szCs w:val="24"/>
              </w:rPr>
              <w:t>工艺控温为</w:t>
            </w:r>
            <w:r>
              <w:rPr>
                <w:rFonts w:hint="default" w:ascii="Times New Roman" w:hAnsi="Times New Roman" w:cs="Times New Roman"/>
                <w:b w:val="0"/>
                <w:bCs w:val="0"/>
                <w:sz w:val="24"/>
                <w:szCs w:val="24"/>
                <w:lang w:val="en-US" w:eastAsia="zh-CN"/>
              </w:rPr>
              <w:t>120</w:t>
            </w:r>
            <w:r>
              <w:rPr>
                <w:rFonts w:hint="default" w:ascii="Times New Roman" w:hAnsi="Times New Roman" w:cs="Times New Roman"/>
                <w:b w:val="0"/>
                <w:bCs w:val="0"/>
                <w:sz w:val="24"/>
                <w:szCs w:val="24"/>
              </w:rPr>
              <w:t>度，时</w:t>
            </w:r>
            <w:r>
              <w:rPr>
                <w:rFonts w:hint="default" w:ascii="Times New Roman" w:hAnsi="Times New Roman" w:cs="Times New Roman"/>
                <w:b w:val="0"/>
                <w:bCs w:val="0"/>
                <w:color w:val="auto"/>
                <w:sz w:val="24"/>
                <w:szCs w:val="24"/>
              </w:rPr>
              <w:t>间</w:t>
            </w:r>
            <w:r>
              <w:rPr>
                <w:rFonts w:hint="default" w:ascii="Times New Roman" w:hAnsi="Times New Roman" w:cs="Times New Roman"/>
                <w:b w:val="0"/>
                <w:bCs w:val="0"/>
                <w:color w:val="auto"/>
                <w:sz w:val="24"/>
                <w:szCs w:val="24"/>
                <w:lang w:val="en-US" w:eastAsia="zh-CN"/>
              </w:rPr>
              <w:t>25</w:t>
            </w:r>
            <w:r>
              <w:rPr>
                <w:rFonts w:hint="default" w:ascii="Times New Roman" w:hAnsi="Times New Roman" w:cs="Times New Roman"/>
                <w:b w:val="0"/>
                <w:bCs w:val="0"/>
                <w:color w:val="auto"/>
                <w:sz w:val="24"/>
                <w:szCs w:val="24"/>
              </w:rPr>
              <w:t>分钟。</w:t>
            </w:r>
            <w:r>
              <w:rPr>
                <w:rFonts w:hint="default" w:ascii="Times New Roman" w:hAnsi="Times New Roman" w:cs="Times New Roman"/>
                <w:b w:val="0"/>
                <w:bCs w:val="0"/>
                <w:color w:val="auto"/>
                <w:sz w:val="24"/>
                <w:szCs w:val="24"/>
                <w:lang w:eastAsia="zh-CN"/>
              </w:rPr>
              <w:t>高温灭菌过程</w:t>
            </w:r>
            <w:r>
              <w:rPr>
                <w:rFonts w:hint="default" w:ascii="Times New Roman" w:hAnsi="Times New Roman" w:cs="Times New Roman"/>
                <w:b w:val="0"/>
                <w:bCs w:val="0"/>
                <w:color w:val="auto"/>
                <w:sz w:val="24"/>
                <w:szCs w:val="24"/>
              </w:rPr>
              <w:t>使酶失活，由于嫩穗存在多种酶，即使在冷冻的低温下也不失活。酶的存在可使体内营养遭到破坏，为此，必须进行熟制。可以杀死田间附着在果穗表面的微生物以及虫卵。以</w:t>
            </w:r>
            <w:r>
              <w:rPr>
                <w:rFonts w:hint="eastAsia" w:ascii="Times New Roman" w:hAnsi="Times New Roman" w:cs="Times New Roman"/>
                <w:b w:val="0"/>
                <w:bCs w:val="0"/>
                <w:color w:val="auto"/>
                <w:sz w:val="24"/>
                <w:szCs w:val="24"/>
                <w:lang w:eastAsia="zh-CN"/>
              </w:rPr>
              <w:t>确认</w:t>
            </w:r>
            <w:r>
              <w:rPr>
                <w:rFonts w:hint="default" w:ascii="Times New Roman" w:hAnsi="Times New Roman" w:cs="Times New Roman"/>
                <w:b w:val="0"/>
                <w:bCs w:val="0"/>
                <w:color w:val="auto"/>
                <w:sz w:val="24"/>
                <w:szCs w:val="24"/>
              </w:rPr>
              <w:t>加工食品的卫生与食用安全。使鲜玉米组织内的空气被排挤出去，可减少冻结时冰晶形成的膨胀压力，增加对膨胀压的抵抗力。排除鲜玉米体内的空气，相应减轻原料的氧化程度，以利于保存产品的色泽及营养。熟制后防止了鲜玉米加工产品的老化。有部分熟食的作用。增加口感。</w:t>
            </w:r>
            <w:r>
              <w:rPr>
                <w:rFonts w:hint="default" w:ascii="Times New Roman" w:hAnsi="Times New Roman" w:cs="Times New Roman"/>
                <w:b w:val="0"/>
                <w:bCs w:val="0"/>
                <w:sz w:val="24"/>
                <w:szCs w:val="24"/>
              </w:rPr>
              <w:t>该工序产生的污染物为</w:t>
            </w:r>
            <w:r>
              <w:rPr>
                <w:rFonts w:hint="eastAsia" w:ascii="Times New Roman" w:hAnsi="Times New Roman" w:cs="Times New Roman"/>
                <w:b w:val="0"/>
                <w:bCs w:val="0"/>
                <w:sz w:val="24"/>
                <w:szCs w:val="24"/>
                <w:lang w:eastAsia="zh-CN"/>
              </w:rPr>
              <w:t>高温杀菌异味及</w:t>
            </w:r>
            <w:r>
              <w:rPr>
                <w:rFonts w:hint="default" w:ascii="Times New Roman" w:hAnsi="Times New Roman" w:cs="Times New Roman"/>
                <w:b w:val="0"/>
                <w:bCs w:val="0"/>
                <w:sz w:val="24"/>
                <w:szCs w:val="24"/>
              </w:rPr>
              <w:t>设备噪声。</w:t>
            </w:r>
          </w:p>
          <w:p>
            <w:pPr>
              <w:pStyle w:val="80"/>
              <w:spacing w:line="360" w:lineRule="auto"/>
              <w:rPr>
                <w:rFonts w:hint="default" w:ascii="Times New Roman" w:hAnsi="Times New Roman" w:eastAsia="宋体" w:cs="Times New Roman"/>
                <w:b w:val="0"/>
                <w:bCs w:val="0"/>
                <w:sz w:val="24"/>
                <w:szCs w:val="24"/>
                <w:highlight w:val="none"/>
                <w:lang w:eastAsia="zh-CN"/>
              </w:rPr>
            </w:pPr>
            <w:r>
              <w:rPr>
                <w:rFonts w:hint="default" w:ascii="Times New Roman" w:hAnsi="Times New Roman" w:cs="Times New Roman"/>
                <w:b w:val="0"/>
                <w:bCs w:val="0"/>
                <w:sz w:val="24"/>
                <w:szCs w:val="24"/>
                <w:highlight w:val="none"/>
              </w:rPr>
              <w:t>7）</w:t>
            </w:r>
            <w:r>
              <w:rPr>
                <w:rFonts w:hint="default" w:ascii="Times New Roman" w:hAnsi="Times New Roman" w:cs="Times New Roman"/>
                <w:b w:val="0"/>
                <w:bCs w:val="0"/>
                <w:sz w:val="24"/>
                <w:szCs w:val="24"/>
                <w:highlight w:val="none"/>
                <w:lang w:eastAsia="zh-CN"/>
              </w:rPr>
              <w:t>风</w:t>
            </w:r>
            <w:r>
              <w:rPr>
                <w:rFonts w:hint="default" w:ascii="Times New Roman" w:hAnsi="Times New Roman" w:cs="Times New Roman"/>
                <w:b w:val="0"/>
                <w:bCs w:val="0"/>
                <w:sz w:val="24"/>
                <w:szCs w:val="24"/>
                <w:highlight w:val="none"/>
              </w:rPr>
              <w:t>干：</w:t>
            </w:r>
            <w:r>
              <w:rPr>
                <w:rFonts w:hint="default" w:ascii="Times New Roman" w:hAnsi="Times New Roman" w:cs="Times New Roman"/>
                <w:b w:val="0"/>
                <w:bCs w:val="0"/>
                <w:sz w:val="24"/>
                <w:szCs w:val="24"/>
                <w:highlight w:val="none"/>
                <w:lang w:eastAsia="zh-CN"/>
              </w:rPr>
              <w:t>将</w:t>
            </w:r>
            <w:r>
              <w:rPr>
                <w:rFonts w:hint="default" w:ascii="Times New Roman" w:hAnsi="Times New Roman" w:cs="Times New Roman"/>
                <w:b w:val="0"/>
                <w:bCs w:val="0"/>
                <w:sz w:val="24"/>
                <w:szCs w:val="24"/>
                <w:lang w:val="en-US" w:eastAsia="zh-CN"/>
              </w:rPr>
              <w:t>高温灭菌的</w:t>
            </w:r>
            <w:r>
              <w:rPr>
                <w:rFonts w:hint="default" w:ascii="Times New Roman" w:hAnsi="Times New Roman" w:cs="Times New Roman"/>
                <w:b w:val="0"/>
                <w:bCs w:val="0"/>
                <w:sz w:val="24"/>
                <w:szCs w:val="24"/>
                <w:highlight w:val="none"/>
              </w:rPr>
              <w:t>鲜玉米进行</w:t>
            </w:r>
            <w:r>
              <w:rPr>
                <w:rFonts w:hint="default" w:ascii="Times New Roman" w:hAnsi="Times New Roman" w:cs="Times New Roman"/>
                <w:b w:val="0"/>
                <w:bCs w:val="0"/>
                <w:sz w:val="24"/>
                <w:szCs w:val="24"/>
                <w:highlight w:val="none"/>
                <w:lang w:eastAsia="zh-CN"/>
              </w:rPr>
              <w:t>风</w:t>
            </w:r>
            <w:r>
              <w:rPr>
                <w:rFonts w:hint="default" w:ascii="Times New Roman" w:hAnsi="Times New Roman" w:cs="Times New Roman"/>
                <w:b w:val="0"/>
                <w:bCs w:val="0"/>
                <w:sz w:val="24"/>
                <w:szCs w:val="24"/>
                <w:highlight w:val="none"/>
              </w:rPr>
              <w:t>干。</w:t>
            </w:r>
            <w:r>
              <w:rPr>
                <w:rFonts w:hint="default" w:ascii="Times New Roman" w:hAnsi="Times New Roman" w:cs="Times New Roman"/>
                <w:b w:val="0"/>
                <w:bCs w:val="0"/>
                <w:sz w:val="24"/>
                <w:szCs w:val="24"/>
              </w:rPr>
              <w:t>该工序产生的污染物为设备噪声。</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8</w:t>
            </w:r>
            <w:r>
              <w:rPr>
                <w:rFonts w:hint="default" w:ascii="Times New Roman" w:hAnsi="Times New Roman" w:cs="Times New Roman"/>
                <w:b w:val="0"/>
                <w:bCs w:val="0"/>
                <w:sz w:val="24"/>
                <w:szCs w:val="24"/>
              </w:rPr>
              <w:t>）检验</w:t>
            </w:r>
            <w:r>
              <w:rPr>
                <w:rFonts w:hint="default" w:ascii="Times New Roman" w:hAnsi="Times New Roman" w:cs="Times New Roman"/>
                <w:b w:val="0"/>
                <w:bCs w:val="0"/>
                <w:sz w:val="24"/>
                <w:szCs w:val="24"/>
                <w:lang w:eastAsia="zh-CN"/>
              </w:rPr>
              <w:t>、打码</w:t>
            </w:r>
            <w:r>
              <w:rPr>
                <w:rFonts w:hint="default" w:ascii="Times New Roman" w:hAnsi="Times New Roman" w:cs="Times New Roman"/>
                <w:b w:val="0"/>
                <w:bCs w:val="0"/>
                <w:sz w:val="24"/>
                <w:szCs w:val="24"/>
              </w:rPr>
              <w:t>：检验鲜玉米穗的外观是否符合质量标准的要求</w:t>
            </w:r>
            <w:r>
              <w:rPr>
                <w:rFonts w:hint="default" w:ascii="Times New Roman" w:hAnsi="Times New Roman" w:cs="Times New Roman"/>
                <w:b w:val="0"/>
                <w:bCs w:val="0"/>
                <w:sz w:val="24"/>
                <w:szCs w:val="24"/>
                <w:lang w:eastAsia="zh-CN"/>
              </w:rPr>
              <w:t>，并在包装袋上打码，</w:t>
            </w:r>
            <w:r>
              <w:rPr>
                <w:rFonts w:hint="default" w:ascii="Times New Roman" w:hAnsi="Times New Roman" w:cs="Times New Roman"/>
                <w:b w:val="0"/>
                <w:bCs w:val="0"/>
                <w:sz w:val="24"/>
                <w:szCs w:val="24"/>
              </w:rPr>
              <w:t>封口标注生产日期。</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9</w:t>
            </w:r>
            <w:r>
              <w:rPr>
                <w:rFonts w:hint="default" w:ascii="Times New Roman" w:hAnsi="Times New Roman" w:cs="Times New Roman"/>
                <w:b w:val="0"/>
                <w:bCs w:val="0"/>
                <w:sz w:val="24"/>
                <w:szCs w:val="24"/>
              </w:rPr>
              <w:t>）入库</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将速冻鲜玉米穗放入库内贮存。</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w:t>
            </w:r>
            <w:r>
              <w:rPr>
                <w:rFonts w:hint="default" w:ascii="Times New Roman" w:hAnsi="Times New Roman" w:cs="Times New Roman"/>
                <w:b w:val="0"/>
                <w:bCs w:val="0"/>
                <w:sz w:val="24"/>
                <w:szCs w:val="24"/>
                <w:lang w:val="en-US" w:eastAsia="zh-CN"/>
              </w:rPr>
              <w:t>0</w:t>
            </w:r>
            <w:r>
              <w:rPr>
                <w:rFonts w:hint="default" w:ascii="Times New Roman" w:hAnsi="Times New Roman" w:cs="Times New Roman"/>
                <w:b w:val="0"/>
                <w:bCs w:val="0"/>
                <w:sz w:val="24"/>
                <w:szCs w:val="24"/>
              </w:rPr>
              <w:t>）装箱</w:t>
            </w:r>
            <w:r>
              <w:rPr>
                <w:rFonts w:hint="default" w:ascii="Times New Roman" w:hAnsi="Times New Roman" w:cs="Times New Roman"/>
                <w:b w:val="0"/>
                <w:bCs w:val="0"/>
                <w:sz w:val="24"/>
                <w:szCs w:val="24"/>
                <w:lang w:eastAsia="zh-CN"/>
              </w:rPr>
              <w:t>、出售：</w:t>
            </w:r>
            <w:r>
              <w:rPr>
                <w:rFonts w:hint="default" w:ascii="Times New Roman" w:hAnsi="Times New Roman" w:cs="Times New Roman"/>
                <w:b w:val="0"/>
                <w:bCs w:val="0"/>
                <w:sz w:val="24"/>
                <w:szCs w:val="24"/>
              </w:rPr>
              <w:t>将检验合格的鲜</w:t>
            </w:r>
            <w:r>
              <w:rPr>
                <w:rFonts w:hint="default" w:ascii="Times New Roman" w:hAnsi="Times New Roman" w:cs="Times New Roman"/>
                <w:b w:val="0"/>
                <w:bCs w:val="0"/>
                <w:sz w:val="24"/>
                <w:szCs w:val="24"/>
                <w:lang w:eastAsia="zh-CN"/>
              </w:rPr>
              <w:t>食</w:t>
            </w:r>
            <w:r>
              <w:rPr>
                <w:rFonts w:hint="default" w:ascii="Times New Roman" w:hAnsi="Times New Roman" w:cs="Times New Roman"/>
                <w:b w:val="0"/>
                <w:bCs w:val="0"/>
                <w:sz w:val="24"/>
                <w:szCs w:val="24"/>
              </w:rPr>
              <w:t>玉米穗装箱打包。该工序产生的污染物为废弃包装箱。</w:t>
            </w:r>
          </w:p>
          <w:p>
            <w:pPr>
              <w:pStyle w:val="8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w:t>
            </w:r>
            <w:r>
              <w:rPr>
                <w:rFonts w:hint="default"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rPr>
              <w:t>）通用工序：</w:t>
            </w:r>
            <w:r>
              <w:rPr>
                <w:rFonts w:hint="default" w:ascii="Times New Roman" w:hAnsi="Times New Roman" w:cs="Times New Roman"/>
                <w:b w:val="0"/>
                <w:bCs w:val="0"/>
                <w:sz w:val="24"/>
                <w:szCs w:val="24"/>
                <w:lang w:eastAsia="zh-CN"/>
              </w:rPr>
              <w:t>高温杀菌工序</w:t>
            </w:r>
            <w:r>
              <w:rPr>
                <w:rFonts w:hint="default" w:ascii="Times New Roman" w:hAnsi="Times New Roman" w:cs="Times New Roman"/>
                <w:b w:val="0"/>
                <w:bCs w:val="0"/>
                <w:sz w:val="24"/>
                <w:szCs w:val="24"/>
              </w:rPr>
              <w:t>用</w:t>
            </w:r>
            <w:r>
              <w:rPr>
                <w:rFonts w:hint="eastAsia" w:ascii="Times New Roman" w:hAnsi="Times New Roman" w:cs="Times New Roman"/>
                <w:b w:val="0"/>
                <w:bCs w:val="0"/>
                <w:sz w:val="24"/>
                <w:szCs w:val="24"/>
                <w:lang w:eastAsia="zh-CN"/>
              </w:rPr>
              <w:t>蒸汽</w:t>
            </w:r>
            <w:r>
              <w:rPr>
                <w:rFonts w:hint="default" w:ascii="Times New Roman" w:hAnsi="Times New Roman" w:cs="Times New Roman"/>
                <w:b w:val="0"/>
                <w:bCs w:val="0"/>
                <w:sz w:val="24"/>
                <w:szCs w:val="24"/>
              </w:rPr>
              <w:t>由1台</w:t>
            </w:r>
            <w:r>
              <w:rPr>
                <w:rFonts w:hint="eastAsia" w:ascii="Times New Roman" w:hAnsi="Times New Roman" w:cs="Times New Roman"/>
                <w:b w:val="0"/>
                <w:bCs w:val="0"/>
                <w:sz w:val="24"/>
                <w:szCs w:val="24"/>
                <w:lang w:val="en-US" w:eastAsia="zh-CN"/>
              </w:rPr>
              <w:t>4t/h和1台6t/h</w:t>
            </w:r>
            <w:r>
              <w:rPr>
                <w:rFonts w:hint="default" w:ascii="Times New Roman" w:hAnsi="Times New Roman" w:cs="Times New Roman"/>
                <w:b w:val="0"/>
                <w:bCs w:val="0"/>
                <w:sz w:val="24"/>
                <w:szCs w:val="24"/>
              </w:rPr>
              <w:t>燃生物质蒸汽锅炉提供，锅炉产生的污染物为锅炉烟气、锅炉排污水、锅炉灰渣、</w:t>
            </w:r>
            <w:r>
              <w:rPr>
                <w:rFonts w:hint="default" w:ascii="Times New Roman" w:hAnsi="Times New Roman" w:cs="Times New Roman"/>
                <w:b w:val="0"/>
                <w:bCs w:val="0"/>
                <w:sz w:val="24"/>
                <w:szCs w:val="24"/>
                <w:highlight w:val="none"/>
                <w:lang w:val="en-US" w:eastAsia="zh-CN"/>
              </w:rPr>
              <w:t>布袋除尘器收尘、废布袋、</w:t>
            </w:r>
            <w:r>
              <w:rPr>
                <w:rFonts w:hint="default" w:ascii="Times New Roman" w:hAnsi="Times New Roman" w:cs="Times New Roman"/>
                <w:b w:val="0"/>
                <w:bCs w:val="0"/>
                <w:sz w:val="24"/>
                <w:szCs w:val="24"/>
              </w:rPr>
              <w:t>废离子交换树脂以及风机</w:t>
            </w:r>
            <w:r>
              <w:rPr>
                <w:rFonts w:hint="default" w:ascii="Times New Roman" w:hAnsi="Times New Roman" w:cs="Times New Roman"/>
                <w:b w:val="0"/>
                <w:bCs w:val="0"/>
                <w:sz w:val="24"/>
                <w:szCs w:val="24"/>
                <w:lang w:eastAsia="zh-CN"/>
              </w:rPr>
              <w:t>水泵</w:t>
            </w:r>
            <w:r>
              <w:rPr>
                <w:rFonts w:hint="default" w:ascii="Times New Roman" w:hAnsi="Times New Roman" w:cs="Times New Roman"/>
                <w:b w:val="0"/>
                <w:bCs w:val="0"/>
                <w:sz w:val="24"/>
                <w:szCs w:val="24"/>
              </w:rPr>
              <w:t>噪声。</w:t>
            </w:r>
          </w:p>
          <w:p>
            <w:pPr>
              <w:adjustRightInd w:val="0"/>
              <w:snapToGrid w:val="0"/>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主要污染工序：</w:t>
            </w:r>
          </w:p>
          <w:p>
            <w:pPr>
              <w:adjustRightInd w:val="0"/>
              <w:snapToGrid w:val="0"/>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本项目营运期主要污染物为废水、废气、噪声和固体废物，根据工程工艺分析，项目运营期主要污染源分布情况见表2-7。</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表2-7  营运期主要污染工序一览表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215"/>
              <w:gridCol w:w="858"/>
              <w:gridCol w:w="3102"/>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81"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25"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污染物类型</w:t>
                  </w:r>
                </w:p>
              </w:tc>
              <w:tc>
                <w:tcPr>
                  <w:tcW w:w="512"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生产线</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产污环节</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jc w:val="center"/>
              </w:trPr>
              <w:tc>
                <w:tcPr>
                  <w:tcW w:w="38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725"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512"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鲜食玉米</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高温杀菌异味G1</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锅炉烟气G</w:t>
                  </w:r>
                  <w:r>
                    <w:rPr>
                      <w:rFonts w:hint="eastAsia" w:cs="Times New Roman"/>
                      <w:color w:val="auto"/>
                      <w:sz w:val="21"/>
                      <w:szCs w:val="21"/>
                      <w:highlight w:val="none"/>
                      <w:lang w:val="en-US" w:eastAsia="zh-CN"/>
                    </w:rPr>
                    <w:t>2</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颗粒物、二氧化硫、氮氧化物、烟气黑度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r>
                    <w:rPr>
                      <w:rFonts w:hint="eastAsia" w:cs="Times New Roman"/>
                      <w:color w:val="auto"/>
                      <w:sz w:val="21"/>
                      <w:szCs w:val="21"/>
                      <w:highlight w:val="none"/>
                      <w:lang w:val="en-US" w:eastAsia="zh-CN"/>
                    </w:rPr>
                    <w:t>G3</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725"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5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鲜食玉米</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清洗废水W1</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rPr>
                    <w:t>COD、NH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锅炉排污水及软化水废水W2</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COD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rPr>
                    <w:t>生活</w:t>
                  </w:r>
                  <w:r>
                    <w:rPr>
                      <w:rFonts w:hint="default" w:ascii="Times New Roman" w:hAnsi="Times New Roman" w:cs="Times New Roman"/>
                      <w:color w:val="auto"/>
                      <w:sz w:val="21"/>
                      <w:szCs w:val="21"/>
                      <w:lang w:eastAsia="zh-CN"/>
                    </w:rPr>
                    <w:t>污水</w:t>
                  </w:r>
                  <w:r>
                    <w:rPr>
                      <w:rFonts w:hint="default" w:ascii="Times New Roman" w:hAnsi="Times New Roman" w:cs="Times New Roman"/>
                      <w:color w:val="auto"/>
                      <w:sz w:val="21"/>
                      <w:szCs w:val="21"/>
                      <w:lang w:val="en-US" w:eastAsia="zh-CN"/>
                    </w:rPr>
                    <w:t>W3</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rPr>
                    <w:t>COD、NH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3</w:t>
                  </w:r>
                </w:p>
              </w:tc>
              <w:tc>
                <w:tcPr>
                  <w:tcW w:w="725"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c>
                <w:tcPr>
                  <w:tcW w:w="5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鲜食玉米</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剥皮机噪声N1</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去头尾机噪声N2</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清洗线噪声N3</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真空包装噪声N4</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高温灭菌噪声N5</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风干线噪声N6</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水泵、锅炉风机N7</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381" w:type="pct"/>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725"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512"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鲜食玉米</w:t>
                  </w: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玉米叶、玉米须</w:t>
                  </w:r>
                  <w:r>
                    <w:rPr>
                      <w:rFonts w:hint="default" w:ascii="Times New Roman" w:hAnsi="Times New Roman" w:cs="Times New Roman"/>
                      <w:color w:val="auto"/>
                      <w:sz w:val="21"/>
                      <w:szCs w:val="21"/>
                      <w:lang w:val="en-US" w:eastAsia="zh-CN"/>
                    </w:rPr>
                    <w:t>S1</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玉米叶、玉米须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不合格的果穗、青穗</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废弃玉米段</w:t>
                  </w:r>
                  <w:r>
                    <w:rPr>
                      <w:rFonts w:hint="default" w:ascii="Times New Roman" w:hAnsi="Times New Roman" w:cs="Times New Roman"/>
                      <w:color w:val="auto"/>
                      <w:sz w:val="21"/>
                      <w:szCs w:val="21"/>
                      <w:lang w:val="en-US" w:eastAsia="zh-CN"/>
                    </w:rPr>
                    <w:t>S2</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不合格的果穗、青穗</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废弃玉米段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废弃包装袋</w:t>
                  </w:r>
                  <w:r>
                    <w:rPr>
                      <w:rFonts w:hint="default" w:ascii="Times New Roman" w:hAnsi="Times New Roman" w:cs="Times New Roman"/>
                      <w:color w:val="auto"/>
                      <w:sz w:val="21"/>
                      <w:szCs w:val="21"/>
                      <w:lang w:val="en-US" w:eastAsia="zh-CN"/>
                    </w:rPr>
                    <w:t>S3</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废弃包装袋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废弃包装箱</w:t>
                  </w:r>
                  <w:r>
                    <w:rPr>
                      <w:rFonts w:hint="default" w:ascii="Times New Roman" w:hAnsi="Times New Roman" w:cs="Times New Roman"/>
                      <w:color w:val="auto"/>
                      <w:sz w:val="21"/>
                      <w:szCs w:val="21"/>
                      <w:lang w:val="en-US" w:eastAsia="zh-CN"/>
                    </w:rPr>
                    <w:t>S4</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废弃包装箱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锅炉灰渣</w:t>
                  </w:r>
                  <w:r>
                    <w:rPr>
                      <w:rFonts w:hint="default" w:ascii="Times New Roman" w:hAnsi="Times New Roman" w:cs="Times New Roman"/>
                      <w:color w:val="auto"/>
                      <w:sz w:val="21"/>
                      <w:szCs w:val="21"/>
                      <w:lang w:val="en-US" w:eastAsia="zh-CN"/>
                    </w:rPr>
                    <w:t>S5</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锅炉灰渣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布袋除尘器收尘</w:t>
                  </w:r>
                  <w:r>
                    <w:rPr>
                      <w:rFonts w:hint="default" w:ascii="Times New Roman" w:hAnsi="Times New Roman" w:cs="Times New Roman"/>
                      <w:color w:val="auto"/>
                      <w:sz w:val="21"/>
                      <w:szCs w:val="21"/>
                      <w:lang w:val="en-US" w:eastAsia="zh-CN"/>
                    </w:rPr>
                    <w:t>S6</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布袋除尘器收尘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废布袋</w:t>
                  </w:r>
                  <w:r>
                    <w:rPr>
                      <w:rFonts w:hint="default" w:ascii="Times New Roman" w:hAnsi="Times New Roman" w:cs="Times New Roman"/>
                      <w:color w:val="auto"/>
                      <w:sz w:val="21"/>
                      <w:szCs w:val="21"/>
                      <w:lang w:val="en-US" w:eastAsia="zh-CN"/>
                    </w:rPr>
                    <w:t>S7</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废布袋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185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废离子交换树脂</w:t>
                  </w:r>
                  <w:r>
                    <w:rPr>
                      <w:rFonts w:hint="default" w:ascii="Times New Roman" w:hAnsi="Times New Roman" w:cs="Times New Roman"/>
                      <w:color w:val="auto"/>
                      <w:sz w:val="21"/>
                      <w:szCs w:val="21"/>
                      <w:lang w:val="en-US" w:eastAsia="zh-CN"/>
                    </w:rPr>
                    <w:t>S8</w:t>
                  </w:r>
                </w:p>
              </w:tc>
              <w:tc>
                <w:tcPr>
                  <w:tcW w:w="152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废离子交换树脂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38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p>
              </w:tc>
              <w:tc>
                <w:tcPr>
                  <w:tcW w:w="725" w:type="pct"/>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5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w:t>
                  </w:r>
                </w:p>
              </w:tc>
              <w:tc>
                <w:tcPr>
                  <w:tcW w:w="1851"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生活垃圾S9</w:t>
                  </w:r>
                </w:p>
              </w:tc>
              <w:tc>
                <w:tcPr>
                  <w:tcW w:w="1529" w:type="pc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w:t>
                  </w:r>
                </w:p>
              </w:tc>
            </w:tr>
          </w:tbl>
          <w:p>
            <w:pPr>
              <w:spacing w:line="360" w:lineRule="auto"/>
              <w:ind w:firstLine="480" w:firstLineChars="200"/>
              <w:contextualSpacing/>
              <w:rPr>
                <w:rFonts w:hint="default" w:ascii="Times New Roman" w:hAnsi="Times New Roman" w:cs="Times New Roman"/>
                <w:bCs/>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2" w:hRule="atLeast"/>
          <w:jc w:val="center"/>
        </w:trPr>
        <w:tc>
          <w:tcPr>
            <w:tcW w:w="448" w:type="dxa"/>
            <w:vAlign w:val="center"/>
          </w:tcPr>
          <w:p>
            <w:pPr>
              <w:pStyle w:val="27"/>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bCs/>
                <w:color w:val="auto"/>
                <w:kern w:val="2"/>
                <w:szCs w:val="24"/>
              </w:rPr>
              <w:t>与项目有关的原有环境污染问题</w:t>
            </w:r>
          </w:p>
        </w:tc>
        <w:tc>
          <w:tcPr>
            <w:tcW w:w="8612" w:type="dxa"/>
          </w:tcPr>
          <w:p>
            <w:pPr>
              <w:widowControl w:val="0"/>
              <w:numPr>
                <w:ilvl w:val="0"/>
                <w:numId w:val="0"/>
              </w:numPr>
              <w:adjustRightInd w:val="0"/>
              <w:snapToGrid w:val="0"/>
              <w:spacing w:beforeLines="0" w:afterLines="0" w:line="360" w:lineRule="auto"/>
              <w:ind w:firstLine="480" w:firstLineChars="200"/>
              <w:jc w:val="both"/>
              <w:rPr>
                <w:rFonts w:hint="default"/>
                <w:sz w:val="24"/>
                <w:szCs w:val="24"/>
                <w:lang w:val="en-US" w:eastAsia="zh-CN"/>
              </w:rPr>
            </w:pPr>
            <w:r>
              <w:rPr>
                <w:rFonts w:hint="default"/>
                <w:sz w:val="24"/>
                <w:szCs w:val="24"/>
                <w:lang w:val="en-US" w:eastAsia="zh-CN"/>
              </w:rPr>
              <w:t>1.基本情况</w:t>
            </w:r>
          </w:p>
          <w:p>
            <w:pPr>
              <w:widowControl w:val="0"/>
              <w:numPr>
                <w:ilvl w:val="0"/>
                <w:numId w:val="0"/>
              </w:numPr>
              <w:adjustRightInd w:val="0"/>
              <w:snapToGrid w:val="0"/>
              <w:spacing w:beforeLines="0" w:afterLines="0" w:line="360" w:lineRule="auto"/>
              <w:ind w:firstLine="480" w:firstLineChars="200"/>
              <w:jc w:val="both"/>
              <w:rPr>
                <w:rFonts w:hint="default"/>
                <w:sz w:val="24"/>
                <w:szCs w:val="24"/>
                <w:lang w:val="en-US" w:eastAsia="zh-CN"/>
              </w:rPr>
            </w:pPr>
            <w:r>
              <w:rPr>
                <w:rFonts w:hint="default"/>
                <w:sz w:val="24"/>
                <w:szCs w:val="24"/>
              </w:rPr>
              <w:t>本项目</w:t>
            </w:r>
            <w:r>
              <w:rPr>
                <w:rFonts w:hint="default"/>
                <w:sz w:val="24"/>
                <w:szCs w:val="24"/>
                <w:lang w:val="en-US" w:eastAsia="zh-CN"/>
              </w:rPr>
              <w:t>于2023年5月开始建设，目前建成建构筑物为</w:t>
            </w:r>
            <w:r>
              <w:rPr>
                <w:rFonts w:hint="default" w:ascii="Times New Roman" w:hAnsi="Times New Roman" w:cs="Times New Roman"/>
                <w:b w:val="0"/>
                <w:bCs w:val="0"/>
                <w:color w:val="auto"/>
                <w:sz w:val="24"/>
                <w:szCs w:val="24"/>
                <w:lang w:eastAsia="zh-CN"/>
              </w:rPr>
              <w:t>鲜食玉米</w:t>
            </w:r>
            <w:r>
              <w:rPr>
                <w:rFonts w:hint="default" w:ascii="Times New Roman" w:hAnsi="Times New Roman" w:cs="Times New Roman"/>
                <w:b w:val="0"/>
                <w:bCs w:val="0"/>
                <w:color w:val="auto"/>
                <w:sz w:val="24"/>
                <w:szCs w:val="24"/>
              </w:rPr>
              <w:t>生产车间</w:t>
            </w:r>
            <w:r>
              <w:rPr>
                <w:rFonts w:hint="default" w:ascii="Times New Roman" w:hAnsi="Times New Roman" w:cs="Times New Roman"/>
                <w:b w:val="0"/>
                <w:bCs w:val="0"/>
                <w:color w:val="auto"/>
                <w:sz w:val="24"/>
                <w:szCs w:val="24"/>
                <w:lang w:val="en-US" w:eastAsia="zh-CN"/>
              </w:rPr>
              <w:t>1座</w:t>
            </w:r>
            <w:r>
              <w:rPr>
                <w:rFonts w:hint="default" w:ascii="Times New Roman" w:hAnsi="Times New Roman" w:eastAsia="宋体" w:cs="Times New Roman"/>
                <w:b w:val="0"/>
                <w:bCs w:val="0"/>
                <w:color w:val="auto"/>
                <w:kern w:val="0"/>
                <w:sz w:val="24"/>
                <w:szCs w:val="24"/>
              </w:rPr>
              <w:t>、</w:t>
            </w:r>
            <w:r>
              <w:rPr>
                <w:rFonts w:hint="default" w:ascii="Times New Roman" w:hAnsi="Times New Roman" w:cs="Times New Roman"/>
                <w:b w:val="0"/>
                <w:bCs w:val="0"/>
                <w:color w:val="auto"/>
                <w:sz w:val="24"/>
                <w:szCs w:val="24"/>
                <w:highlight w:val="none"/>
                <w:lang w:eastAsia="zh-CN"/>
              </w:rPr>
              <w:t>鲜食玉米成品库房</w:t>
            </w:r>
            <w:r>
              <w:rPr>
                <w:rFonts w:hint="eastAsia"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val="en-US" w:eastAsia="zh-CN"/>
              </w:rPr>
              <w:t>座</w:t>
            </w:r>
            <w:r>
              <w:rPr>
                <w:rFonts w:hint="default" w:ascii="Times New Roman" w:hAnsi="Times New Roman" w:eastAsia="宋体" w:cs="Times New Roman"/>
                <w:b w:val="0"/>
                <w:bCs w:val="0"/>
                <w:color w:val="auto"/>
                <w:kern w:val="0"/>
                <w:sz w:val="24"/>
                <w:szCs w:val="24"/>
              </w:rPr>
              <w:t>、</w:t>
            </w:r>
            <w:r>
              <w:rPr>
                <w:rFonts w:hint="default" w:ascii="Times New Roman" w:hAnsi="Times New Roman" w:cs="Times New Roman"/>
                <w:b w:val="0"/>
                <w:bCs w:val="0"/>
                <w:color w:val="auto"/>
                <w:spacing w:val="-4"/>
                <w:sz w:val="24"/>
                <w:szCs w:val="24"/>
                <w:highlight w:val="none"/>
              </w:rPr>
              <w:t>锅炉房</w:t>
            </w:r>
            <w:r>
              <w:rPr>
                <w:rFonts w:hint="default" w:ascii="Times New Roman" w:hAnsi="Times New Roman" w:cs="Times New Roman"/>
                <w:b w:val="0"/>
                <w:bCs w:val="0"/>
                <w:color w:val="auto"/>
                <w:sz w:val="24"/>
                <w:szCs w:val="24"/>
                <w:lang w:val="en-US" w:eastAsia="zh-CN"/>
              </w:rPr>
              <w:t>1座</w:t>
            </w:r>
            <w:r>
              <w:rPr>
                <w:rFonts w:hint="default" w:ascii="Times New Roman" w:hAnsi="Times New Roman" w:cs="Times New Roman"/>
                <w:b w:val="0"/>
                <w:bCs w:val="0"/>
                <w:color w:val="auto"/>
                <w:spacing w:val="-4"/>
                <w:sz w:val="24"/>
                <w:szCs w:val="24"/>
                <w:highlight w:val="none"/>
                <w:lang w:eastAsia="zh-CN"/>
              </w:rPr>
              <w:t>、</w:t>
            </w:r>
            <w:r>
              <w:rPr>
                <w:rFonts w:hint="eastAsia" w:cs="Times New Roman"/>
                <w:b w:val="0"/>
                <w:bCs w:val="0"/>
                <w:color w:val="auto"/>
                <w:spacing w:val="-4"/>
                <w:sz w:val="24"/>
                <w:szCs w:val="24"/>
                <w:highlight w:val="none"/>
                <w:lang w:eastAsia="zh-CN"/>
              </w:rPr>
              <w:t>灰渣间</w:t>
            </w:r>
            <w:r>
              <w:rPr>
                <w:rFonts w:hint="eastAsia" w:cs="Times New Roman"/>
                <w:b w:val="0"/>
                <w:bCs w:val="0"/>
                <w:color w:val="auto"/>
                <w:spacing w:val="-4"/>
                <w:sz w:val="24"/>
                <w:szCs w:val="24"/>
                <w:highlight w:val="none"/>
                <w:lang w:val="en-US" w:eastAsia="zh-CN"/>
              </w:rPr>
              <w:t>1座、燃料库1座、软化水处理间1座、</w:t>
            </w:r>
            <w:r>
              <w:rPr>
                <w:rFonts w:hint="default" w:ascii="Times New Roman" w:hAnsi="Times New Roman" w:cs="Times New Roman"/>
                <w:b w:val="0"/>
                <w:bCs w:val="0"/>
                <w:color w:val="auto"/>
                <w:spacing w:val="-4"/>
                <w:sz w:val="24"/>
                <w:szCs w:val="24"/>
                <w:highlight w:val="none"/>
                <w:lang w:eastAsia="zh-CN"/>
              </w:rPr>
              <w:t>办公室</w:t>
            </w:r>
            <w:r>
              <w:rPr>
                <w:rFonts w:hint="default" w:ascii="Times New Roman" w:hAnsi="Times New Roman" w:cs="Times New Roman"/>
                <w:b w:val="0"/>
                <w:bCs w:val="0"/>
                <w:color w:val="auto"/>
                <w:sz w:val="24"/>
                <w:szCs w:val="24"/>
                <w:lang w:val="en-US" w:eastAsia="zh-CN"/>
              </w:rPr>
              <w:t>1座</w:t>
            </w:r>
            <w:r>
              <w:rPr>
                <w:rFonts w:hint="default" w:ascii="Times New Roman" w:hAnsi="Times New Roman" w:cs="Times New Roman"/>
                <w:b w:val="0"/>
                <w:bCs w:val="0"/>
                <w:color w:val="auto"/>
                <w:spacing w:val="-4"/>
                <w:sz w:val="24"/>
                <w:szCs w:val="24"/>
                <w:highlight w:val="none"/>
                <w:lang w:eastAsia="zh-CN"/>
              </w:rPr>
              <w:t>、食堂</w:t>
            </w:r>
            <w:r>
              <w:rPr>
                <w:rFonts w:hint="default" w:ascii="Times New Roman" w:hAnsi="Times New Roman" w:eastAsia="宋体" w:cs="Times New Roman"/>
                <w:b w:val="0"/>
                <w:bCs w:val="0"/>
                <w:color w:val="auto"/>
                <w:kern w:val="0"/>
                <w:sz w:val="24"/>
                <w:szCs w:val="24"/>
              </w:rPr>
              <w:t>1座</w:t>
            </w:r>
            <w:r>
              <w:rPr>
                <w:rFonts w:hint="default"/>
                <w:sz w:val="24"/>
                <w:szCs w:val="32"/>
                <w:lang w:val="en-US" w:eastAsia="zh-CN"/>
              </w:rPr>
              <w:t>，</w:t>
            </w:r>
            <w:r>
              <w:rPr>
                <w:rFonts w:hint="eastAsia"/>
                <w:sz w:val="24"/>
                <w:szCs w:val="32"/>
                <w:lang w:val="en-US" w:eastAsia="zh-CN"/>
              </w:rPr>
              <w:t>已购置1台6t/h</w:t>
            </w:r>
            <w:r>
              <w:rPr>
                <w:rFonts w:hint="default"/>
                <w:sz w:val="24"/>
                <w:szCs w:val="32"/>
                <w:lang w:val="en-US" w:eastAsia="zh-CN"/>
              </w:rPr>
              <w:t>燃生物质蒸汽锅炉</w:t>
            </w:r>
            <w:r>
              <w:rPr>
                <w:rFonts w:hint="default"/>
                <w:sz w:val="24"/>
                <w:szCs w:val="24"/>
                <w:lang w:val="en-US" w:eastAsia="zh-CN"/>
              </w:rPr>
              <w:t>，配套环保措施未建设完成。企业未投产，已建成内容见下表2-8。</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表2-8  项目工程组成一览表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244"/>
              <w:gridCol w:w="5405"/>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工程</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类别</w:t>
                  </w:r>
                </w:p>
              </w:tc>
              <w:tc>
                <w:tcPr>
                  <w:tcW w:w="7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项目名称</w:t>
                  </w:r>
                </w:p>
              </w:tc>
              <w:tc>
                <w:tcPr>
                  <w:tcW w:w="32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工程建设内容及规模</w:t>
                  </w:r>
                </w:p>
              </w:tc>
              <w:tc>
                <w:tcPr>
                  <w:tcW w:w="4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lang w:eastAsia="zh-CN"/>
                    </w:rPr>
                  </w:pPr>
                  <w:r>
                    <w:rPr>
                      <w:rFonts w:hint="default"/>
                      <w:highlight w:val="none"/>
                      <w:lang w:eastAsia="zh-CN"/>
                    </w:rPr>
                    <w:t>主体工程</w:t>
                  </w:r>
                </w:p>
              </w:tc>
              <w:tc>
                <w:tcPr>
                  <w:tcW w:w="742" w:type="pct"/>
                  <w:tcBorders>
                    <w:tl2br w:val="nil"/>
                    <w:tr2bl w:val="nil"/>
                  </w:tcBorders>
                  <w:vAlign w:val="center"/>
                </w:tcPr>
                <w:p>
                  <w:pPr>
                    <w:jc w:val="center"/>
                    <w:rPr>
                      <w:rFonts w:hint="default"/>
                      <w:highlight w:val="none"/>
                      <w:lang w:val="en-US" w:eastAsia="zh-CN"/>
                    </w:rPr>
                  </w:pPr>
                  <w:r>
                    <w:rPr>
                      <w:rFonts w:hint="default" w:ascii="Times New Roman" w:hAnsi="Times New Roman" w:cs="Times New Roman"/>
                      <w:color w:val="auto"/>
                      <w:sz w:val="21"/>
                      <w:szCs w:val="21"/>
                      <w:highlight w:val="none"/>
                      <w:lang w:eastAsia="zh-CN"/>
                    </w:rPr>
                    <w:t>鲜食玉米</w:t>
                  </w:r>
                  <w:r>
                    <w:rPr>
                      <w:rFonts w:hint="default" w:ascii="Times New Roman" w:hAnsi="Times New Roman" w:cs="Times New Roman"/>
                      <w:color w:val="auto"/>
                      <w:sz w:val="21"/>
                      <w:szCs w:val="21"/>
                      <w:highlight w:val="none"/>
                    </w:rPr>
                    <w:t>生产车间</w:t>
                  </w:r>
                </w:p>
              </w:tc>
              <w:tc>
                <w:tcPr>
                  <w:tcW w:w="3224" w:type="pct"/>
                  <w:tcBorders>
                    <w:tl2br w:val="nil"/>
                    <w:tr2bl w:val="nil"/>
                  </w:tcBorders>
                  <w:vAlign w:val="center"/>
                </w:tcPr>
                <w:p>
                  <w:pPr>
                    <w:jc w:val="center"/>
                    <w:rPr>
                      <w:rFonts w:hint="default"/>
                      <w:highlight w:val="none"/>
                      <w:lang w:val="en-US"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2500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default" w:ascii="Times New Roman" w:hAnsi="Times New Roman" w:cs="Times New Roman"/>
                      <w:color w:val="auto"/>
                      <w:sz w:val="21"/>
                      <w:szCs w:val="21"/>
                      <w:highlight w:val="none"/>
                      <w:lang w:val="en-US" w:eastAsia="zh-CN"/>
                    </w:rPr>
                    <w:t>8m，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2500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层建筑，</w:t>
                  </w:r>
                  <w:r>
                    <w:rPr>
                      <w:rFonts w:hint="default" w:ascii="Times New Roman" w:hAnsi="Times New Roman" w:cs="Times New Roman"/>
                      <w:color w:val="auto"/>
                      <w:sz w:val="21"/>
                      <w:szCs w:val="21"/>
                      <w:highlight w:val="none"/>
                    </w:rPr>
                    <w:t>内设</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条玉米加工生产线，车间包括玉米加工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扒皮、切割</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高温灭菌、风干、</w:t>
                  </w:r>
                  <w:r>
                    <w:rPr>
                      <w:rFonts w:hint="default" w:ascii="Times New Roman" w:hAnsi="Times New Roman" w:cs="Times New Roman"/>
                      <w:color w:val="auto"/>
                      <w:sz w:val="21"/>
                      <w:szCs w:val="21"/>
                      <w:highlight w:val="none"/>
                    </w:rPr>
                    <w:t>包装</w:t>
                  </w:r>
                  <w:r>
                    <w:rPr>
                      <w:rFonts w:hint="default" w:ascii="Times New Roman" w:hAnsi="Times New Roman" w:cs="Times New Roman"/>
                      <w:color w:val="auto"/>
                      <w:sz w:val="21"/>
                      <w:szCs w:val="21"/>
                      <w:highlight w:val="none"/>
                      <w:lang w:val="en-US" w:eastAsia="zh-CN"/>
                    </w:rPr>
                    <w:t>等工序</w:t>
                  </w:r>
                  <w:r>
                    <w:rPr>
                      <w:rFonts w:hint="default" w:ascii="Times New Roman" w:hAnsi="Times New Roman" w:cs="Times New Roman"/>
                      <w:color w:val="auto"/>
                      <w:sz w:val="21"/>
                      <w:szCs w:val="21"/>
                      <w:highlight w:val="none"/>
                    </w:rPr>
                    <w:t>，内设</w:t>
                  </w:r>
                  <w:r>
                    <w:rPr>
                      <w:rFonts w:hint="default" w:ascii="Times New Roman" w:hAnsi="Times New Roman" w:cs="Times New Roman"/>
                      <w:color w:val="auto"/>
                      <w:kern w:val="2"/>
                      <w:sz w:val="21"/>
                      <w:szCs w:val="21"/>
                      <w:highlight w:val="none"/>
                      <w:lang w:val="en-US" w:eastAsia="zh-CN" w:bidi="ar-SA"/>
                    </w:rPr>
                    <w:t>剥皮机</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0"/>
                      <w:sz w:val="21"/>
                      <w:szCs w:val="21"/>
                      <w:highlight w:val="none"/>
                      <w:lang w:eastAsia="zh-CN"/>
                    </w:rPr>
                    <w:t>去头尾机</w:t>
                  </w:r>
                  <w:r>
                    <w:rPr>
                      <w:rFonts w:hint="default" w:ascii="Times New Roman" w:hAnsi="Times New Roman" w:cs="Times New Roman"/>
                      <w:color w:val="auto"/>
                      <w:sz w:val="21"/>
                      <w:szCs w:val="21"/>
                      <w:highlight w:val="none"/>
                    </w:rPr>
                    <w:t>、清洗</w:t>
                  </w:r>
                  <w:r>
                    <w:rPr>
                      <w:rFonts w:hint="default" w:ascii="Times New Roman" w:hAnsi="Times New Roman" w:cs="Times New Roman"/>
                      <w:color w:val="auto"/>
                      <w:sz w:val="21"/>
                      <w:szCs w:val="21"/>
                      <w:highlight w:val="none"/>
                      <w:lang w:eastAsia="zh-CN"/>
                    </w:rPr>
                    <w:t>线</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风干线、</w:t>
                  </w:r>
                  <w:r>
                    <w:rPr>
                      <w:rFonts w:hint="default" w:ascii="Times New Roman" w:hAnsi="Times New Roman" w:cs="Times New Roman"/>
                      <w:color w:val="auto"/>
                      <w:sz w:val="21"/>
                      <w:szCs w:val="21"/>
                      <w:highlight w:val="none"/>
                      <w:lang w:eastAsia="zh-CN"/>
                    </w:rPr>
                    <w:t>高温灭菌锅、传送带</w:t>
                  </w:r>
                  <w:r>
                    <w:rPr>
                      <w:rFonts w:hint="default" w:ascii="Times New Roman" w:hAnsi="Times New Roman" w:cs="Times New Roman"/>
                      <w:color w:val="auto"/>
                      <w:sz w:val="21"/>
                      <w:szCs w:val="21"/>
                      <w:highlight w:val="none"/>
                    </w:rPr>
                    <w:t>等</w:t>
                  </w:r>
                </w:p>
              </w:tc>
              <w:tc>
                <w:tcPr>
                  <w:tcW w:w="4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lang w:val="en-US" w:eastAsia="zh-CN"/>
                    </w:rPr>
                  </w:pPr>
                  <w:r>
                    <w:rPr>
                      <w:rFonts w:hint="default"/>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储运</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工程</w:t>
                  </w:r>
                </w:p>
              </w:tc>
              <w:tc>
                <w:tcPr>
                  <w:tcW w:w="742" w:type="pct"/>
                  <w:tcBorders>
                    <w:tl2br w:val="nil"/>
                    <w:tr2bl w:val="nil"/>
                  </w:tcBorders>
                  <w:vAlign w:val="center"/>
                </w:tcPr>
                <w:p>
                  <w:pPr>
                    <w:jc w:val="center"/>
                    <w:rPr>
                      <w:rFonts w:hint="default"/>
                      <w:highlight w:val="none"/>
                      <w:lang w:val="en-US" w:eastAsia="zh-CN"/>
                    </w:rPr>
                  </w:pPr>
                  <w:r>
                    <w:rPr>
                      <w:rFonts w:hint="default" w:ascii="Times New Roman" w:hAnsi="Times New Roman" w:cs="Times New Roman"/>
                      <w:color w:val="auto"/>
                      <w:sz w:val="21"/>
                      <w:szCs w:val="21"/>
                      <w:highlight w:val="none"/>
                      <w:lang w:eastAsia="zh-CN"/>
                    </w:rPr>
                    <w:t>鲜食玉米</w:t>
                  </w:r>
                  <w:r>
                    <w:rPr>
                      <w:rFonts w:hint="default" w:ascii="Times New Roman" w:hAnsi="Times New Roman" w:cs="Times New Roman"/>
                      <w:spacing w:val="-4"/>
                      <w:sz w:val="21"/>
                      <w:szCs w:val="21"/>
                      <w:highlight w:val="none"/>
                    </w:rPr>
                    <w:t>一般固废暂存区</w:t>
                  </w:r>
                </w:p>
              </w:tc>
              <w:tc>
                <w:tcPr>
                  <w:tcW w:w="3224" w:type="pct"/>
                  <w:tcBorders>
                    <w:tl2br w:val="nil"/>
                    <w:tr2bl w:val="nil"/>
                  </w:tcBorders>
                  <w:vAlign w:val="center"/>
                </w:tcPr>
                <w:p>
                  <w:pPr>
                    <w:jc w:val="center"/>
                    <w:rPr>
                      <w:rFonts w:hint="default"/>
                      <w:highlight w:val="none"/>
                    </w:rPr>
                  </w:pPr>
                  <w:r>
                    <w:rPr>
                      <w:rFonts w:hint="default" w:ascii="Times New Roman" w:hAnsi="Times New Roman" w:cs="Times New Roman"/>
                      <w:sz w:val="21"/>
                      <w:szCs w:val="21"/>
                      <w:highlight w:val="none"/>
                    </w:rPr>
                    <w:t>位于生产车间内，占地面积为</w:t>
                  </w:r>
                  <w:r>
                    <w:rPr>
                      <w:rFonts w:hint="default" w:ascii="Times New Roman" w:hAnsi="Times New Roman" w:cs="Times New Roman"/>
                      <w:sz w:val="21"/>
                      <w:szCs w:val="21"/>
                      <w:highlight w:val="none"/>
                      <w:lang w:val="en-US" w:eastAsia="zh-CN"/>
                    </w:rPr>
                    <w:t>30</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2</w:t>
                  </w:r>
                  <w:r>
                    <w:rPr>
                      <w:rFonts w:hint="default" w:ascii="Times New Roman" w:hAnsi="Times New Roman" w:cs="Times New Roman"/>
                      <w:bCs/>
                      <w:sz w:val="21"/>
                      <w:szCs w:val="21"/>
                      <w:highlight w:val="none"/>
                    </w:rPr>
                    <w:t>，地面做简单防渗处理</w:t>
                  </w:r>
                </w:p>
              </w:tc>
              <w:tc>
                <w:tcPr>
                  <w:tcW w:w="477" w:type="pct"/>
                  <w:tcBorders>
                    <w:tl2br w:val="nil"/>
                    <w:tr2bl w:val="nil"/>
                  </w:tcBorders>
                  <w:vAlign w:val="center"/>
                </w:tcPr>
                <w:p>
                  <w:pPr>
                    <w:jc w:val="center"/>
                    <w:rPr>
                      <w:rFonts w:hint="default"/>
                      <w:highlight w:val="none"/>
                      <w:lang w:val="en-US" w:eastAsia="zh-CN"/>
                    </w:rPr>
                  </w:pPr>
                  <w:r>
                    <w:rPr>
                      <w:rFonts w:hint="default"/>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p>
              </w:tc>
              <w:tc>
                <w:tcPr>
                  <w:tcW w:w="742" w:type="pct"/>
                  <w:tcBorders>
                    <w:tl2br w:val="nil"/>
                    <w:tr2bl w:val="nil"/>
                  </w:tcBorders>
                  <w:vAlign w:val="center"/>
                </w:tcPr>
                <w:p>
                  <w:pPr>
                    <w:jc w:val="center"/>
                    <w:rPr>
                      <w:rFonts w:hint="default"/>
                      <w:highlight w:val="none"/>
                      <w:lang w:val="en-US"/>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1</w:t>
                  </w:r>
                </w:p>
              </w:tc>
              <w:tc>
                <w:tcPr>
                  <w:tcW w:w="3224" w:type="pct"/>
                  <w:tcBorders>
                    <w:tl2br w:val="nil"/>
                    <w:tr2bl w:val="nil"/>
                  </w:tcBorders>
                  <w:vAlign w:val="center"/>
                </w:tcPr>
                <w:p>
                  <w:pPr>
                    <w:jc w:val="center"/>
                    <w:rPr>
                      <w:rFonts w:hint="default"/>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576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576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一层，钢结构，最多能存储</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7" w:type="pct"/>
                  <w:tcBorders>
                    <w:tl2br w:val="nil"/>
                    <w:tr2bl w:val="nil"/>
                  </w:tcBorders>
                  <w:vAlign w:val="center"/>
                </w:tcPr>
                <w:p>
                  <w:pPr>
                    <w:jc w:val="center"/>
                    <w:rPr>
                      <w:rFonts w:hint="default"/>
                      <w:highlight w:val="none"/>
                      <w:lang w:eastAsia="zh-CN"/>
                    </w:rPr>
                  </w:pPr>
                  <w:r>
                    <w:rPr>
                      <w:rFonts w:hint="default"/>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p>
              </w:tc>
              <w:tc>
                <w:tcPr>
                  <w:tcW w:w="742" w:type="pct"/>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2</w:t>
                  </w:r>
                </w:p>
              </w:tc>
              <w:tc>
                <w:tcPr>
                  <w:tcW w:w="3224" w:type="pct"/>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一层，钢结构，最多能存储</w:t>
                  </w: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7" w:type="pct"/>
                  <w:tcBorders>
                    <w:tl2br w:val="nil"/>
                    <w:tr2bl w:val="nil"/>
                  </w:tcBorders>
                  <w:vAlign w:val="center"/>
                </w:tcPr>
                <w:p>
                  <w:pPr>
                    <w:jc w:val="center"/>
                    <w:rPr>
                      <w:rFonts w:hint="default"/>
                      <w:highlight w:val="none"/>
                    </w:rPr>
                  </w:pPr>
                  <w:r>
                    <w:rPr>
                      <w:rFonts w:hint="default"/>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p>
              </w:tc>
              <w:tc>
                <w:tcPr>
                  <w:tcW w:w="742" w:type="pct"/>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鲜食玉米成品库房</w:t>
                  </w:r>
                  <w:r>
                    <w:rPr>
                      <w:rFonts w:hint="eastAsia" w:cs="Times New Roman"/>
                      <w:color w:val="auto"/>
                      <w:sz w:val="21"/>
                      <w:szCs w:val="21"/>
                      <w:highlight w:val="none"/>
                      <w:lang w:val="en-US" w:eastAsia="zh-CN"/>
                    </w:rPr>
                    <w:t>3</w:t>
                  </w:r>
                </w:p>
              </w:tc>
              <w:tc>
                <w:tcPr>
                  <w:tcW w:w="3224" w:type="pct"/>
                  <w:tcBorders>
                    <w:tl2br w:val="nil"/>
                    <w:tr2bl w:val="nil"/>
                  </w:tcBorders>
                  <w:vAlign w:val="center"/>
                </w:tcPr>
                <w:p>
                  <w:pPr>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占地</w:t>
                  </w:r>
                  <w:r>
                    <w:rPr>
                      <w:rFonts w:hint="default" w:ascii="Times New Roman" w:hAnsi="Times New Roman" w:cs="Times New Roman"/>
                      <w:color w:val="auto"/>
                      <w:sz w:val="21"/>
                      <w:szCs w:val="21"/>
                      <w:highlight w:val="none"/>
                    </w:rPr>
                    <w:t>面积为</w:t>
                  </w:r>
                  <w:r>
                    <w:rPr>
                      <w:rFonts w:hint="eastAsia" w:cs="Times New Roman"/>
                      <w:color w:val="auto"/>
                      <w:sz w:val="21"/>
                      <w:szCs w:val="21"/>
                      <w:highlight w:val="none"/>
                      <w:lang w:val="en-US" w:eastAsia="zh-CN"/>
                    </w:rPr>
                    <w:t>416</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高度</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832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二</w:t>
                  </w:r>
                  <w:r>
                    <w:rPr>
                      <w:rFonts w:hint="default" w:ascii="Times New Roman" w:hAnsi="Times New Roman" w:cs="Times New Roman"/>
                      <w:color w:val="auto"/>
                      <w:sz w:val="21"/>
                      <w:szCs w:val="21"/>
                      <w:highlight w:val="none"/>
                      <w:lang w:eastAsia="zh-CN"/>
                    </w:rPr>
                    <w:t>层，钢结构，最多能存储</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00万穗</w:t>
                  </w:r>
                  <w:r>
                    <w:rPr>
                      <w:rFonts w:hint="default" w:ascii="Times New Roman" w:hAnsi="Times New Roman" w:cs="Times New Roman"/>
                      <w:color w:val="auto"/>
                      <w:sz w:val="21"/>
                      <w:szCs w:val="21"/>
                      <w:highlight w:val="none"/>
                      <w:lang w:eastAsia="zh-CN"/>
                    </w:rPr>
                    <w:t>鲜食玉米。</w:t>
                  </w:r>
                </w:p>
              </w:tc>
              <w:tc>
                <w:tcPr>
                  <w:tcW w:w="477" w:type="pct"/>
                  <w:tcBorders>
                    <w:tl2br w:val="nil"/>
                    <w:tr2bl w:val="nil"/>
                  </w:tcBorders>
                  <w:vAlign w:val="center"/>
                </w:tcPr>
                <w:p>
                  <w:pPr>
                    <w:jc w:val="center"/>
                    <w:rPr>
                      <w:rFonts w:hint="default"/>
                      <w:highlight w:val="none"/>
                    </w:rPr>
                  </w:pPr>
                  <w:r>
                    <w:rPr>
                      <w:rFonts w:hint="default"/>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辅助</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r>
                    <w:rPr>
                      <w:rFonts w:hint="default"/>
                      <w:highlight w:val="none"/>
                    </w:rPr>
                    <w:t>工程</w:t>
                  </w:r>
                </w:p>
              </w:tc>
              <w:tc>
                <w:tcPr>
                  <w:tcW w:w="742" w:type="pct"/>
                  <w:tcBorders>
                    <w:tl2br w:val="nil"/>
                    <w:tr2bl w:val="nil"/>
                  </w:tcBorders>
                  <w:vAlign w:val="center"/>
                </w:tcPr>
                <w:p>
                  <w:pPr>
                    <w:jc w:val="center"/>
                    <w:rPr>
                      <w:rFonts w:hint="default"/>
                      <w:highlight w:val="none"/>
                      <w:lang w:val="en-US" w:eastAsia="zh-CN"/>
                    </w:rPr>
                  </w:pPr>
                  <w:r>
                    <w:rPr>
                      <w:rFonts w:hint="default"/>
                      <w:highlight w:val="none"/>
                    </w:rPr>
                    <w:t>办公室</w:t>
                  </w:r>
                </w:p>
              </w:tc>
              <w:tc>
                <w:tcPr>
                  <w:tcW w:w="3224" w:type="pct"/>
                  <w:tcBorders>
                    <w:tl2br w:val="nil"/>
                    <w:tr2bl w:val="nil"/>
                  </w:tcBorders>
                  <w:vAlign w:val="center"/>
                </w:tcPr>
                <w:p>
                  <w:pPr>
                    <w:jc w:val="center"/>
                    <w:rPr>
                      <w:rFonts w:hint="default"/>
                      <w:highlight w:val="none"/>
                      <w:lang w:val="en-US" w:eastAsia="zh-CN"/>
                    </w:rPr>
                  </w:pPr>
                  <w:r>
                    <w:rPr>
                      <w:rFonts w:hint="default"/>
                      <w:highlight w:val="none"/>
                    </w:rPr>
                    <w:t>建筑面积为</w:t>
                  </w:r>
                  <w:r>
                    <w:rPr>
                      <w:rFonts w:hint="default"/>
                      <w:highlight w:val="none"/>
                      <w:lang w:val="en-US" w:eastAsia="zh-CN"/>
                    </w:rPr>
                    <w:t>110</w:t>
                  </w:r>
                  <w:r>
                    <w:rPr>
                      <w:rFonts w:hint="default"/>
                      <w:highlight w:val="none"/>
                    </w:rPr>
                    <w:t>m</w:t>
                  </w:r>
                  <w:r>
                    <w:rPr>
                      <w:rFonts w:hint="default"/>
                      <w:highlight w:val="none"/>
                      <w:vertAlign w:val="superscript"/>
                    </w:rPr>
                    <w:t>2</w:t>
                  </w:r>
                  <w:r>
                    <w:rPr>
                      <w:rFonts w:hint="default"/>
                      <w:highlight w:val="none"/>
                    </w:rPr>
                    <w:t>，用于员工日常办公和休息</w:t>
                  </w:r>
                </w:p>
              </w:tc>
              <w:tc>
                <w:tcPr>
                  <w:tcW w:w="477" w:type="pct"/>
                  <w:tcBorders>
                    <w:tl2br w:val="nil"/>
                    <w:tr2bl w:val="nil"/>
                  </w:tcBorders>
                  <w:vAlign w:val="center"/>
                </w:tcPr>
                <w:p>
                  <w:pPr>
                    <w:jc w:val="center"/>
                    <w:rPr>
                      <w:rFonts w:hint="default"/>
                      <w:highlight w:val="none"/>
                      <w:lang w:val="en-US" w:eastAsia="zh-CN"/>
                    </w:rPr>
                  </w:pPr>
                  <w:r>
                    <w:rPr>
                      <w:rFonts w:hint="default"/>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p>
              </w:tc>
              <w:tc>
                <w:tcPr>
                  <w:tcW w:w="742" w:type="pct"/>
                  <w:tcBorders>
                    <w:tl2br w:val="nil"/>
                    <w:tr2bl w:val="nil"/>
                  </w:tcBorders>
                  <w:vAlign w:val="center"/>
                </w:tcPr>
                <w:p>
                  <w:pPr>
                    <w:jc w:val="center"/>
                    <w:rPr>
                      <w:rFonts w:hint="default"/>
                      <w:highlight w:val="none"/>
                      <w:lang w:val="en-US" w:eastAsia="zh-CN"/>
                    </w:rPr>
                  </w:pPr>
                  <w:r>
                    <w:rPr>
                      <w:rFonts w:hint="default"/>
                      <w:highlight w:val="none"/>
                      <w:lang w:eastAsia="zh-CN"/>
                    </w:rPr>
                    <w:t>食堂</w:t>
                  </w:r>
                </w:p>
              </w:tc>
              <w:tc>
                <w:tcPr>
                  <w:tcW w:w="3224" w:type="pct"/>
                  <w:tcBorders>
                    <w:tl2br w:val="nil"/>
                    <w:tr2bl w:val="nil"/>
                  </w:tcBorders>
                  <w:vAlign w:val="center"/>
                </w:tcPr>
                <w:p>
                  <w:pPr>
                    <w:jc w:val="center"/>
                    <w:rPr>
                      <w:rFonts w:hint="default"/>
                      <w:highlight w:val="none"/>
                      <w:lang w:val="en-US" w:eastAsia="zh-CN"/>
                    </w:rPr>
                  </w:pPr>
                  <w:r>
                    <w:rPr>
                      <w:rFonts w:hint="default"/>
                      <w:highlight w:val="none"/>
                    </w:rPr>
                    <w:t>建筑面积为</w:t>
                  </w:r>
                  <w:r>
                    <w:rPr>
                      <w:rFonts w:hint="default"/>
                      <w:highlight w:val="none"/>
                      <w:lang w:val="en-US" w:eastAsia="zh-CN"/>
                    </w:rPr>
                    <w:t>150</w:t>
                  </w:r>
                  <w:r>
                    <w:rPr>
                      <w:rFonts w:hint="default"/>
                      <w:highlight w:val="none"/>
                    </w:rPr>
                    <w:t>m</w:t>
                  </w:r>
                  <w:r>
                    <w:rPr>
                      <w:rFonts w:hint="default"/>
                      <w:highlight w:val="none"/>
                      <w:vertAlign w:val="superscript"/>
                    </w:rPr>
                    <w:t>2</w:t>
                  </w:r>
                </w:p>
              </w:tc>
              <w:tc>
                <w:tcPr>
                  <w:tcW w:w="477" w:type="pct"/>
                  <w:tcBorders>
                    <w:tl2br w:val="nil"/>
                    <w:tr2bl w:val="nil"/>
                  </w:tcBorders>
                  <w:vAlign w:val="center"/>
                </w:tcPr>
                <w:p>
                  <w:pPr>
                    <w:jc w:val="center"/>
                    <w:rPr>
                      <w:rFonts w:hint="default"/>
                      <w:highlight w:val="none"/>
                      <w:lang w:val="en-US" w:eastAsia="zh-CN"/>
                    </w:rPr>
                  </w:pPr>
                  <w:r>
                    <w:rPr>
                      <w:rFonts w:hint="default"/>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highlight w:val="none"/>
                    </w:rPr>
                  </w:pPr>
                </w:p>
              </w:tc>
              <w:tc>
                <w:tcPr>
                  <w:tcW w:w="742" w:type="pct"/>
                  <w:tcBorders>
                    <w:tl2br w:val="nil"/>
                    <w:tr2bl w:val="nil"/>
                  </w:tcBorders>
                  <w:vAlign w:val="center"/>
                </w:tcPr>
                <w:p>
                  <w:pPr>
                    <w:jc w:val="center"/>
                    <w:rPr>
                      <w:rFonts w:hint="default"/>
                      <w:highlight w:val="none"/>
                      <w:lang w:val="en-US" w:eastAsia="zh-CN"/>
                    </w:rPr>
                  </w:pPr>
                  <w:r>
                    <w:rPr>
                      <w:rFonts w:hint="default" w:ascii="Times New Roman" w:hAnsi="Times New Roman" w:cs="Times New Roman"/>
                      <w:color w:val="auto"/>
                      <w:spacing w:val="-4"/>
                      <w:sz w:val="21"/>
                      <w:szCs w:val="21"/>
                      <w:highlight w:val="none"/>
                    </w:rPr>
                    <w:t>锅炉房</w:t>
                  </w:r>
                </w:p>
              </w:tc>
              <w:tc>
                <w:tcPr>
                  <w:tcW w:w="3224" w:type="pct"/>
                  <w:tcBorders>
                    <w:tl2br w:val="nil"/>
                    <w:tr2bl w:val="nil"/>
                  </w:tcBorders>
                  <w:vAlign w:val="center"/>
                </w:tcPr>
                <w:p>
                  <w:pPr>
                    <w:jc w:val="center"/>
                    <w:rPr>
                      <w:rFonts w:hint="default"/>
                      <w:highlight w:val="none"/>
                      <w:lang w:val="en-US" w:eastAsia="zh-CN"/>
                    </w:rPr>
                  </w:pP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高</w:t>
                  </w:r>
                  <w:r>
                    <w:rPr>
                      <w:rFonts w:hint="default" w:ascii="Times New Roman" w:hAnsi="Times New Roman" w:cs="Times New Roman"/>
                      <w:color w:val="auto"/>
                      <w:sz w:val="21"/>
                      <w:szCs w:val="21"/>
                      <w:highlight w:val="none"/>
                      <w:lang w:val="en-US" w:eastAsia="zh-CN"/>
                    </w:rPr>
                    <w:t>7m，</w:t>
                  </w:r>
                  <w:r>
                    <w:rPr>
                      <w:rFonts w:hint="eastAsia" w:cs="Times New Roman"/>
                      <w:color w:val="auto"/>
                      <w:sz w:val="21"/>
                      <w:szCs w:val="21"/>
                      <w:highlight w:val="none"/>
                      <w:lang w:eastAsia="zh-CN"/>
                    </w:rPr>
                    <w:t>锅炉房</w:t>
                  </w:r>
                  <w:r>
                    <w:rPr>
                      <w:rFonts w:hint="default" w:ascii="Times New Roman" w:hAnsi="Times New Roman" w:cs="Times New Roman"/>
                      <w:color w:val="auto"/>
                      <w:sz w:val="21"/>
                      <w:szCs w:val="21"/>
                      <w:highlight w:val="none"/>
                    </w:rPr>
                    <w:t>内设置1台</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t/h燃生物质蒸汽锅炉</w:t>
                  </w:r>
                  <w:r>
                    <w:rPr>
                      <w:rFonts w:hint="default" w:ascii="Times New Roman" w:hAnsi="Times New Roman" w:cs="Times New Roman"/>
                      <w:color w:val="auto"/>
                      <w:sz w:val="21"/>
                      <w:szCs w:val="21"/>
                      <w:highlight w:val="none"/>
                    </w:rPr>
                    <w:t>，用于提供项目生产用</w:t>
                  </w:r>
                  <w:r>
                    <w:rPr>
                      <w:rFonts w:hint="default" w:ascii="Times New Roman" w:hAnsi="Times New Roman" w:cs="Times New Roman"/>
                      <w:color w:val="auto"/>
                      <w:sz w:val="21"/>
                      <w:szCs w:val="21"/>
                      <w:highlight w:val="none"/>
                      <w:lang w:eastAsia="zh-CN"/>
                    </w:rPr>
                    <w:t>蒸汽</w:t>
                  </w:r>
                </w:p>
              </w:tc>
              <w:tc>
                <w:tcPr>
                  <w:tcW w:w="477" w:type="pct"/>
                  <w:tcBorders>
                    <w:tl2br w:val="nil"/>
                    <w:tr2bl w:val="nil"/>
                  </w:tcBorders>
                  <w:vAlign w:val="center"/>
                </w:tcPr>
                <w:p>
                  <w:pPr>
                    <w:jc w:val="center"/>
                    <w:rPr>
                      <w:rFonts w:hint="default"/>
                      <w:highlight w:val="none"/>
                      <w:lang w:val="en-US" w:eastAsia="zh-CN"/>
                    </w:rPr>
                  </w:pPr>
                  <w:r>
                    <w:rPr>
                      <w:rFonts w:hint="default"/>
                      <w:highlight w:val="none"/>
                    </w:rPr>
                    <w:t>已建</w:t>
                  </w:r>
                </w:p>
              </w:tc>
            </w:tr>
          </w:tbl>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2.原有环境污染问题</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本项目未投产运营，不存在原有污染问题。</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3.整改措施</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①在锅炉房内建设封闭的灰渣间和燃料库，地面做简单防渗处理。</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②配制30m</w:t>
            </w:r>
            <w:r>
              <w:rPr>
                <w:rFonts w:hint="default"/>
                <w:sz w:val="24"/>
                <w:szCs w:val="32"/>
                <w:vertAlign w:val="superscript"/>
                <w:lang w:val="en-US" w:eastAsia="zh-CN"/>
              </w:rPr>
              <w:t>3</w:t>
            </w:r>
            <w:r>
              <w:rPr>
                <w:rFonts w:hint="default"/>
                <w:sz w:val="24"/>
                <w:szCs w:val="32"/>
                <w:lang w:val="en-US" w:eastAsia="zh-CN"/>
              </w:rPr>
              <w:t>的密闭储罐，用于暂存清洗废水、车间地面冲洗废水。</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③</w:t>
            </w:r>
            <w:r>
              <w:rPr>
                <w:rFonts w:hint="eastAsia"/>
                <w:sz w:val="24"/>
                <w:szCs w:val="32"/>
                <w:lang w:val="en-US" w:eastAsia="zh-CN"/>
              </w:rPr>
              <w:t>配置</w:t>
            </w:r>
            <w:r>
              <w:rPr>
                <w:rFonts w:hint="default"/>
                <w:sz w:val="24"/>
                <w:szCs w:val="32"/>
                <w:lang w:val="en-US" w:eastAsia="zh-CN"/>
              </w:rPr>
              <w:t>布袋除尘器+35m高烟囱</w:t>
            </w:r>
          </w:p>
          <w:p>
            <w:pPr>
              <w:widowControl w:val="0"/>
              <w:numPr>
                <w:ilvl w:val="0"/>
                <w:numId w:val="0"/>
              </w:numPr>
              <w:adjustRightInd w:val="0"/>
              <w:snapToGrid w:val="0"/>
              <w:spacing w:beforeLines="0" w:afterLines="0" w:line="360" w:lineRule="auto"/>
              <w:ind w:firstLine="480" w:firstLineChars="200"/>
              <w:jc w:val="both"/>
              <w:rPr>
                <w:rFonts w:hint="default"/>
                <w:sz w:val="24"/>
                <w:szCs w:val="32"/>
                <w:lang w:val="en-US" w:eastAsia="zh-CN"/>
              </w:rPr>
            </w:pPr>
            <w:r>
              <w:rPr>
                <w:rFonts w:hint="default"/>
                <w:sz w:val="24"/>
                <w:szCs w:val="32"/>
                <w:lang w:val="en-US" w:eastAsia="zh-CN"/>
              </w:rPr>
              <w:t>④食堂安装油烟净化器。净化效率不低于75%。</w:t>
            </w:r>
          </w:p>
          <w:p>
            <w:pPr>
              <w:spacing w:before="120" w:beforeLines="50" w:line="360" w:lineRule="auto"/>
              <w:ind w:firstLine="420" w:firstLineChars="200"/>
              <w:rPr>
                <w:rFonts w:hint="default"/>
                <w:lang w:val="en-US" w:eastAsia="zh-CN"/>
              </w:rPr>
            </w:pPr>
          </w:p>
          <w:p>
            <w:pPr>
              <w:spacing w:before="120" w:beforeLines="50" w:line="360" w:lineRule="auto"/>
              <w:ind w:firstLine="420" w:firstLineChars="200"/>
              <w:rPr>
                <w:rFonts w:hint="default"/>
                <w:lang w:val="en-US" w:eastAsia="zh-CN"/>
              </w:rPr>
            </w:pPr>
          </w:p>
          <w:p>
            <w:pPr>
              <w:spacing w:before="120" w:beforeLines="50" w:line="360" w:lineRule="auto"/>
              <w:ind w:firstLine="420" w:firstLineChars="200"/>
              <w:rPr>
                <w:rFonts w:hint="default"/>
                <w:lang w:val="en-US" w:eastAsia="zh-CN"/>
              </w:rPr>
            </w:pPr>
          </w:p>
          <w:p>
            <w:pPr>
              <w:spacing w:before="120" w:beforeLines="50" w:line="360" w:lineRule="auto"/>
              <w:ind w:firstLine="420" w:firstLineChars="200"/>
              <w:rPr>
                <w:rFonts w:hint="default"/>
                <w:lang w:val="en-US" w:eastAsia="zh-CN"/>
              </w:rPr>
            </w:pPr>
          </w:p>
          <w:p>
            <w:pPr>
              <w:spacing w:before="120" w:beforeLines="50" w:line="360" w:lineRule="auto"/>
              <w:ind w:firstLine="420" w:firstLineChars="200"/>
              <w:rPr>
                <w:rFonts w:hint="default"/>
                <w:lang w:val="en-US" w:eastAsia="zh-CN"/>
              </w:rPr>
            </w:pPr>
          </w:p>
          <w:p>
            <w:pPr>
              <w:spacing w:before="120" w:beforeLines="50" w:line="360" w:lineRule="auto"/>
              <w:rPr>
                <w:rFonts w:hint="default"/>
              </w:rPr>
            </w:pPr>
          </w:p>
          <w:p>
            <w:pPr>
              <w:pStyle w:val="2"/>
              <w:rPr>
                <w:rFonts w:hint="default"/>
              </w:rPr>
            </w:pPr>
          </w:p>
          <w:p>
            <w:pPr>
              <w:pStyle w:val="3"/>
              <w:rPr>
                <w:rFonts w:hint="default"/>
              </w:rPr>
            </w:pPr>
          </w:p>
        </w:tc>
      </w:tr>
    </w:tbl>
    <w:p>
      <w:pPr>
        <w:pStyle w:val="27"/>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bookmarkStart w:id="16" w:name="_Toc68775754"/>
      <w:r>
        <w:rPr>
          <w:rFonts w:hint="default" w:ascii="Times New Roman" w:hAnsi="Times New Roman" w:eastAsia="黑体" w:cs="Times New Roman"/>
          <w:snapToGrid w:val="0"/>
          <w:color w:val="auto"/>
          <w:sz w:val="30"/>
          <w:szCs w:val="30"/>
        </w:rPr>
        <w:t>三、区域环境质量现状、环境保护目标及评价标准</w:t>
      </w:r>
      <w:bookmarkEnd w:id="16"/>
    </w:p>
    <w:tbl>
      <w:tblPr>
        <w:tblStyle w:val="32"/>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3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2" w:hRule="atLeast"/>
          <w:jc w:val="center"/>
        </w:trPr>
        <w:tc>
          <w:tcPr>
            <w:tcW w:w="736" w:type="dxa"/>
            <w:vAlign w:val="center"/>
          </w:tcPr>
          <w:p>
            <w:pPr>
              <w:keepNext w:val="0"/>
              <w:keepLines w:val="0"/>
              <w:pageBreakBefore w:val="0"/>
              <w:kinsoku/>
              <w:wordWrap/>
              <w:overflowPunct/>
              <w:topLinePunct w:val="0"/>
              <w:autoSpaceDE/>
              <w:autoSpaceDN/>
              <w:bidi w:val="0"/>
              <w:adjustRightInd w:val="0"/>
              <w:snapToGrid w:val="0"/>
              <w:ind w:left="0" w:leftChars="0" w:right="0" w:right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区域环境质量现状</w:t>
            </w:r>
          </w:p>
        </w:tc>
        <w:tc>
          <w:tcPr>
            <w:tcW w:w="8325" w:type="dxa"/>
            <w:vAlign w:val="center"/>
          </w:tcPr>
          <w:p>
            <w:pPr>
              <w:pStyle w:val="47"/>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1、环境空气质量现状</w:t>
            </w:r>
          </w:p>
          <w:p>
            <w:pPr>
              <w:keepNext w:val="0"/>
              <w:keepLines w:val="0"/>
              <w:pageBreakBefore w:val="0"/>
              <w:kinsoku/>
              <w:wordWrap/>
              <w:overflowPunct/>
              <w:topLinePunct w:val="0"/>
              <w:autoSpaceDE/>
              <w:autoSpaceDN/>
              <w:bidi w:val="0"/>
              <w:spacing w:line="360" w:lineRule="auto"/>
              <w:ind w:left="0" w:leftChars="0" w:right="0" w:rightChars="0" w:firstLine="480" w:firstLineChars="200"/>
              <w:rPr>
                <w:rFonts w:hint="default" w:ascii="Times New Roman" w:hAnsi="Times New Roman" w:eastAsia="宋体" w:cs="Times New Roman"/>
                <w:b w:val="0"/>
                <w:bCs/>
                <w:color w:val="auto"/>
                <w:sz w:val="24"/>
                <w:szCs w:val="24"/>
              </w:rPr>
            </w:pP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1</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基本污染物</w:t>
            </w:r>
            <w:r>
              <w:rPr>
                <w:rFonts w:hint="default" w:ascii="Times New Roman" w:hAnsi="Times New Roman" w:cs="Times New Roman"/>
                <w:b w:val="0"/>
                <w:bCs/>
                <w:color w:val="auto"/>
                <w:sz w:val="24"/>
              </w:rPr>
              <w:t>环境质量现状</w:t>
            </w:r>
          </w:p>
          <w:p>
            <w:pPr>
              <w:spacing w:line="360" w:lineRule="auto"/>
              <w:ind w:firstLine="480" w:firstLineChars="200"/>
              <w:jc w:val="left"/>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根据《哈尔滨市生态环境质量报告书2021年》，2021年哈尔滨市环境空气质量有效监测天数365天，达标310天，达标率84.9%。其中优135天，良175天，超标55天；其中轻度污染40天，中度污染10天，重度污染5天。超标天数中首要污染物42天为细颗粒物，11天为臭氧，1天为可吸入污染物，1天为二氧化氮。</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表3-1  区域空气质量现状评价表</w:t>
            </w:r>
          </w:p>
          <w:tbl>
            <w:tblPr>
              <w:tblStyle w:val="3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532"/>
              <w:gridCol w:w="1229"/>
              <w:gridCol w:w="1219"/>
              <w:gridCol w:w="1323"/>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年评价指标</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现状浓度/（μg/m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标准值/</w:t>
                  </w:r>
                </w:p>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占标率</w:t>
                  </w:r>
                </w:p>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restar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w:t>
                  </w:r>
                  <w:r>
                    <w:rPr>
                      <w:rFonts w:hint="default" w:ascii="Times New Roman" w:hAnsi="Times New Roman" w:cs="Times New Roman"/>
                      <w:b w:val="0"/>
                      <w:bCs w:val="0"/>
                      <w:color w:val="auto"/>
                      <w:sz w:val="21"/>
                      <w:szCs w:val="21"/>
                      <w:vertAlign w:val="subscript"/>
                    </w:rPr>
                    <w:t>2.5</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年均值</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37</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35</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105.71%</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日均值第95百分位数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95</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75</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126.67%</w:t>
                  </w:r>
                </w:p>
              </w:tc>
              <w:tc>
                <w:tcPr>
                  <w:tcW w:w="538"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69" w:type="pct"/>
                  <w:vMerge w:val="restar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w:t>
                  </w:r>
                  <w:r>
                    <w:rPr>
                      <w:rFonts w:hint="default" w:ascii="Times New Roman" w:hAnsi="Times New Roman" w:cs="Times New Roman"/>
                      <w:b w:val="0"/>
                      <w:bCs w:val="0"/>
                      <w:color w:val="auto"/>
                      <w:sz w:val="21"/>
                      <w:szCs w:val="21"/>
                      <w:vertAlign w:val="subscript"/>
                    </w:rPr>
                    <w:t>10</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年均值</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57</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81.43%</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569" w:type="pct"/>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日均值第95百分位数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118</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150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78.67%</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restar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NO</w:t>
                  </w:r>
                  <w:r>
                    <w:rPr>
                      <w:rFonts w:hint="default" w:ascii="Times New Roman" w:hAnsi="Times New Roman" w:cs="Times New Roman"/>
                      <w:b w:val="0"/>
                      <w:bCs w:val="0"/>
                      <w:color w:val="auto"/>
                      <w:sz w:val="21"/>
                      <w:szCs w:val="21"/>
                      <w:vertAlign w:val="subscript"/>
                    </w:rPr>
                    <w:t>2</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年均值</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31</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77.50%</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日均值第98百分位数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57</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71.25%</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restar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SO</w:t>
                  </w:r>
                  <w:r>
                    <w:rPr>
                      <w:rFonts w:hint="default" w:ascii="Times New Roman" w:hAnsi="Times New Roman" w:cs="Times New Roman"/>
                      <w:b w:val="0"/>
                      <w:bCs w:val="0"/>
                      <w:color w:val="auto"/>
                      <w:sz w:val="21"/>
                      <w:szCs w:val="21"/>
                      <w:vertAlign w:val="subscript"/>
                    </w:rPr>
                    <w:t>2</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年均值</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26.67%</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continue"/>
                  <w:tcBorders>
                    <w:tl2br w:val="nil"/>
                    <w:tr2bl w:val="nil"/>
                  </w:tcBorders>
                  <w:noWrap w:val="0"/>
                  <w:vAlign w:val="center"/>
                </w:tcPr>
                <w:p>
                  <w:pPr>
                    <w:jc w:val="center"/>
                    <w:rPr>
                      <w:rFonts w:hint="default" w:ascii="Times New Roman" w:hAnsi="Times New Roman" w:cs="Times New Roman"/>
                      <w:b w:val="0"/>
                      <w:bCs w:val="0"/>
                      <w:color w:val="auto"/>
                      <w:sz w:val="21"/>
                      <w:szCs w:val="21"/>
                    </w:rPr>
                  </w:pP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日均值第98百分位数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38</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150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25.33%</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日均值第95百分位数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1.2mg/m</w:t>
                  </w:r>
                  <w:r>
                    <w:rPr>
                      <w:rFonts w:hint="default" w:ascii="Times New Roman" w:hAnsi="Times New Roman" w:cs="Times New Roman"/>
                      <w:b w:val="0"/>
                      <w:bCs w:val="0"/>
                      <w:color w:val="auto"/>
                      <w:sz w:val="21"/>
                      <w:szCs w:val="21"/>
                      <w:vertAlign w:val="superscript"/>
                    </w:rPr>
                    <w:t>3</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4.0mg/m</w:t>
                  </w:r>
                  <w:r>
                    <w:rPr>
                      <w:rFonts w:hint="default" w:ascii="Times New Roman" w:hAnsi="Times New Roman" w:cs="Times New Roman"/>
                      <w:b w:val="0"/>
                      <w:bCs w:val="0"/>
                      <w:color w:val="auto"/>
                      <w:sz w:val="21"/>
                      <w:szCs w:val="21"/>
                      <w:vertAlign w:val="superscript"/>
                    </w:rPr>
                    <w:t>3</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30.00%</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56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O</w:t>
                  </w:r>
                  <w:r>
                    <w:rPr>
                      <w:rFonts w:hint="default" w:ascii="Times New Roman" w:hAnsi="Times New Roman" w:cs="Times New Roman"/>
                      <w:b w:val="0"/>
                      <w:bCs w:val="0"/>
                      <w:color w:val="auto"/>
                      <w:sz w:val="21"/>
                      <w:szCs w:val="21"/>
                      <w:vertAlign w:val="subscript"/>
                    </w:rPr>
                    <w:t>3</w:t>
                  </w:r>
                </w:p>
              </w:tc>
              <w:tc>
                <w:tcPr>
                  <w:tcW w:w="1564"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日最大8小时平均第90百分位数</w:t>
                  </w:r>
                </w:p>
              </w:tc>
              <w:tc>
                <w:tcPr>
                  <w:tcW w:w="759"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128</w:t>
                  </w:r>
                </w:p>
              </w:tc>
              <w:tc>
                <w:tcPr>
                  <w:tcW w:w="753"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160</w:t>
                  </w:r>
                </w:p>
              </w:tc>
              <w:tc>
                <w:tcPr>
                  <w:tcW w:w="817" w:type="pct"/>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80.00%</w:t>
                  </w:r>
                </w:p>
              </w:tc>
              <w:tc>
                <w:tcPr>
                  <w:tcW w:w="538" w:type="pct"/>
                  <w:tcBorders>
                    <w:tl2br w:val="nil"/>
                    <w:tr2bl w:val="nil"/>
                  </w:tcBorders>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达标</w:t>
                  </w:r>
                </w:p>
              </w:tc>
            </w:tr>
          </w:tbl>
          <w:p>
            <w:pPr>
              <w:spacing w:line="360" w:lineRule="auto"/>
              <w:ind w:firstLine="480" w:firstLineChars="200"/>
              <w:jc w:val="left"/>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哈尔滨市区环境空气代表点的监测结果表明，该地区空气污染物PM</w:t>
            </w:r>
            <w:r>
              <w:rPr>
                <w:rFonts w:hint="default" w:ascii="Times New Roman" w:hAnsi="Times New Roman" w:cs="Times New Roman"/>
                <w:b w:val="0"/>
                <w:bCs w:val="0"/>
                <w:color w:val="auto"/>
                <w:sz w:val="24"/>
                <w:vertAlign w:val="subscript"/>
              </w:rPr>
              <w:t>2.5</w:t>
            </w:r>
            <w:r>
              <w:rPr>
                <w:rFonts w:hint="default" w:ascii="Times New Roman" w:hAnsi="Times New Roman" w:cs="Times New Roman"/>
                <w:b w:val="0"/>
                <w:bCs w:val="0"/>
                <w:color w:val="auto"/>
                <w:sz w:val="24"/>
              </w:rPr>
              <w:t>不满足《环境空气质量标准》（GB3095-2012）及修改单中的二级标准，为不达标区。采暖期污染物排放远超环境承载能力为主要原因，秋冬季气象条件总体不利导致重污染天气频现，春季清除秸秆根茬产生一定影响，区域性污染与本地排放叠加加重了重污染程度。</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2</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特征污染物环境质量现状</w:t>
            </w:r>
          </w:p>
          <w:p>
            <w:pPr>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rPr>
              <w:t>根据《建设项目环境影响评价报告表编制技术指南》（污染影响类）（试行）的要求，本项目的特征污染物为总悬浮颗粒物，根据黑龙江天福环保监测有限公</w:t>
            </w:r>
            <w:r>
              <w:rPr>
                <w:rFonts w:hint="default" w:ascii="Times New Roman" w:hAnsi="Times New Roman" w:cs="Times New Roman"/>
                <w:b w:val="0"/>
                <w:bCs w:val="0"/>
                <w:color w:val="auto"/>
                <w:sz w:val="24"/>
                <w:highlight w:val="none"/>
              </w:rPr>
              <w:t>司于202</w:t>
            </w:r>
            <w:r>
              <w:rPr>
                <w:rFonts w:hint="default" w:ascii="Times New Roman" w:hAnsi="Times New Roman" w:cs="Times New Roman"/>
                <w:b w:val="0"/>
                <w:bCs w:val="0"/>
                <w:color w:val="auto"/>
                <w:sz w:val="24"/>
                <w:highlight w:val="none"/>
                <w:lang w:val="en-US" w:eastAsia="zh-CN"/>
              </w:rPr>
              <w:t>3</w:t>
            </w:r>
            <w:r>
              <w:rPr>
                <w:rFonts w:hint="default" w:ascii="Times New Roman" w:hAnsi="Times New Roman" w:cs="Times New Roman"/>
                <w:b w:val="0"/>
                <w:bCs w:val="0"/>
                <w:color w:val="auto"/>
                <w:sz w:val="24"/>
                <w:highlight w:val="none"/>
              </w:rPr>
              <w:t>年</w:t>
            </w:r>
            <w:r>
              <w:rPr>
                <w:rFonts w:hint="default" w:ascii="Times New Roman" w:hAnsi="Times New Roman" w:cs="Times New Roman"/>
                <w:b w:val="0"/>
                <w:bCs w:val="0"/>
                <w:color w:val="auto"/>
                <w:sz w:val="24"/>
                <w:highlight w:val="none"/>
                <w:lang w:val="en-US" w:eastAsia="zh-CN"/>
              </w:rPr>
              <w:t>0</w:t>
            </w:r>
            <w:r>
              <w:rPr>
                <w:rFonts w:hint="eastAsia" w:cs="Times New Roman"/>
                <w:b w:val="0"/>
                <w:bCs w:val="0"/>
                <w:color w:val="auto"/>
                <w:sz w:val="24"/>
                <w:highlight w:val="none"/>
                <w:lang w:val="en-US" w:eastAsia="zh-CN"/>
              </w:rPr>
              <w:t>8</w:t>
            </w:r>
            <w:r>
              <w:rPr>
                <w:rFonts w:hint="default" w:ascii="Times New Roman" w:hAnsi="Times New Roman" w:cs="Times New Roman"/>
                <w:b w:val="0"/>
                <w:bCs w:val="0"/>
                <w:color w:val="auto"/>
                <w:sz w:val="24"/>
                <w:highlight w:val="none"/>
              </w:rPr>
              <w:t>月</w:t>
            </w:r>
            <w:r>
              <w:rPr>
                <w:rFonts w:hint="eastAsia" w:cs="Times New Roman"/>
                <w:b w:val="0"/>
                <w:bCs w:val="0"/>
                <w:color w:val="auto"/>
                <w:sz w:val="24"/>
                <w:highlight w:val="none"/>
                <w:lang w:val="en-US" w:eastAsia="zh-CN"/>
              </w:rPr>
              <w:t>03</w:t>
            </w:r>
            <w:r>
              <w:rPr>
                <w:rFonts w:hint="default" w:ascii="Times New Roman" w:hAnsi="Times New Roman" w:cs="Times New Roman"/>
                <w:b w:val="0"/>
                <w:bCs w:val="0"/>
                <w:color w:val="auto"/>
                <w:sz w:val="24"/>
                <w:highlight w:val="none"/>
              </w:rPr>
              <w:t>日出具的《</w:t>
            </w:r>
            <w:r>
              <w:rPr>
                <w:rFonts w:hint="eastAsia" w:cs="Times New Roman"/>
                <w:b w:val="0"/>
                <w:bCs w:val="0"/>
                <w:color w:val="auto"/>
                <w:sz w:val="24"/>
                <w:highlight w:val="none"/>
                <w:lang w:eastAsia="zh-CN"/>
              </w:rPr>
              <w:t>黑龙江昊瑞食品有限公司</w:t>
            </w:r>
            <w:r>
              <w:rPr>
                <w:rFonts w:hint="default" w:ascii="Times New Roman" w:hAnsi="Times New Roman" w:cs="Times New Roman"/>
                <w:b w:val="0"/>
                <w:bCs w:val="0"/>
                <w:color w:val="auto"/>
                <w:sz w:val="24"/>
                <w:highlight w:val="none"/>
              </w:rPr>
              <w:t>建设项目检测报告》（监测时间为2023年0</w:t>
            </w:r>
            <w:r>
              <w:rPr>
                <w:rFonts w:hint="eastAsia" w:cs="Times New Roman"/>
                <w:b w:val="0"/>
                <w:bCs w:val="0"/>
                <w:color w:val="auto"/>
                <w:sz w:val="24"/>
                <w:highlight w:val="none"/>
                <w:lang w:val="en-US" w:eastAsia="zh-CN"/>
              </w:rPr>
              <w:t>7</w:t>
            </w:r>
            <w:r>
              <w:rPr>
                <w:rFonts w:hint="default" w:ascii="Times New Roman" w:hAnsi="Times New Roman" w:cs="Times New Roman"/>
                <w:b w:val="0"/>
                <w:bCs w:val="0"/>
                <w:color w:val="auto"/>
                <w:sz w:val="24"/>
                <w:highlight w:val="none"/>
              </w:rPr>
              <w:t>月</w:t>
            </w:r>
            <w:r>
              <w:rPr>
                <w:rFonts w:hint="eastAsia" w:cs="Times New Roman"/>
                <w:b w:val="0"/>
                <w:bCs w:val="0"/>
                <w:color w:val="auto"/>
                <w:sz w:val="24"/>
                <w:highlight w:val="none"/>
                <w:lang w:val="en-US" w:eastAsia="zh-CN"/>
              </w:rPr>
              <w:t>28</w:t>
            </w:r>
            <w:r>
              <w:rPr>
                <w:rFonts w:hint="default" w:ascii="Times New Roman" w:hAnsi="Times New Roman" w:cs="Times New Roman"/>
                <w:b w:val="0"/>
                <w:bCs w:val="0"/>
                <w:color w:val="auto"/>
                <w:sz w:val="24"/>
                <w:highlight w:val="none"/>
              </w:rPr>
              <w:t>日～2023年0</w:t>
            </w:r>
            <w:r>
              <w:rPr>
                <w:rFonts w:hint="eastAsia" w:cs="Times New Roman"/>
                <w:b w:val="0"/>
                <w:bCs w:val="0"/>
                <w:color w:val="auto"/>
                <w:sz w:val="24"/>
                <w:highlight w:val="none"/>
                <w:lang w:val="en-US" w:eastAsia="zh-CN"/>
              </w:rPr>
              <w:t>8</w:t>
            </w:r>
            <w:r>
              <w:rPr>
                <w:rFonts w:hint="default" w:ascii="Times New Roman" w:hAnsi="Times New Roman" w:cs="Times New Roman"/>
                <w:b w:val="0"/>
                <w:bCs w:val="0"/>
                <w:color w:val="auto"/>
                <w:sz w:val="24"/>
                <w:highlight w:val="none"/>
              </w:rPr>
              <w:t>月</w:t>
            </w:r>
            <w:r>
              <w:rPr>
                <w:rFonts w:hint="eastAsia" w:cs="Times New Roman"/>
                <w:b w:val="0"/>
                <w:bCs w:val="0"/>
                <w:color w:val="auto"/>
                <w:sz w:val="24"/>
                <w:highlight w:val="none"/>
                <w:lang w:val="en-US" w:eastAsia="zh-CN"/>
              </w:rPr>
              <w:t>01</w:t>
            </w:r>
            <w:r>
              <w:rPr>
                <w:rFonts w:hint="default" w:ascii="Times New Roman" w:hAnsi="Times New Roman" w:cs="Times New Roman"/>
                <w:b w:val="0"/>
                <w:bCs w:val="0"/>
                <w:color w:val="auto"/>
                <w:sz w:val="24"/>
                <w:highlight w:val="none"/>
              </w:rPr>
              <w:t>日），具体检测结果如下：</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①监测因子</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根据本项目污染物排放特点及拟建厂址周围的环境特征，确定补充监测因子为：总悬浮颗粒物。</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②监测点位</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根据《建设项目环境影响评价报告表编制技术指南》（污染影响类）中要求，在厂</w:t>
            </w:r>
            <w:r>
              <w:rPr>
                <w:rFonts w:hint="default" w:ascii="Times New Roman" w:hAnsi="Times New Roman" w:cs="Times New Roman"/>
                <w:b w:val="0"/>
                <w:bCs w:val="0"/>
                <w:color w:val="auto"/>
                <w:sz w:val="24"/>
                <w:lang w:eastAsia="zh-CN"/>
              </w:rPr>
              <w:t>区</w:t>
            </w:r>
            <w:r>
              <w:rPr>
                <w:rFonts w:hint="default" w:ascii="Times New Roman" w:hAnsi="Times New Roman" w:cs="Times New Roman"/>
                <w:b w:val="0"/>
                <w:bCs w:val="0"/>
                <w:color w:val="auto"/>
                <w:sz w:val="24"/>
              </w:rPr>
              <w:t>下风向</w:t>
            </w:r>
            <w:r>
              <w:rPr>
                <w:rFonts w:hint="eastAsia" w:cs="Times New Roman"/>
                <w:b w:val="0"/>
                <w:bCs w:val="0"/>
                <w:color w:val="auto"/>
                <w:sz w:val="24"/>
                <w:lang w:val="en-US" w:eastAsia="zh-CN"/>
              </w:rPr>
              <w:t>10m</w:t>
            </w:r>
            <w:r>
              <w:rPr>
                <w:rFonts w:hint="default" w:ascii="Times New Roman" w:hAnsi="Times New Roman" w:cs="Times New Roman"/>
                <w:b w:val="0"/>
                <w:bCs w:val="0"/>
                <w:color w:val="auto"/>
                <w:sz w:val="24"/>
              </w:rPr>
              <w:t>布设1个监测点位，布点图见图3-1。</w:t>
            </w:r>
          </w:p>
          <w:p>
            <w:pPr>
              <w:spacing w:line="240" w:lineRule="auto"/>
              <w:ind w:firstLine="0" w:firstLineChars="0"/>
              <w:rPr>
                <w:rFonts w:hint="default" w:ascii="Times New Roman" w:hAnsi="Times New Roman" w:cs="Times New Roman"/>
                <w:color w:val="FF0000"/>
                <w:sz w:val="24"/>
              </w:rPr>
            </w:pPr>
            <w:r>
              <w:drawing>
                <wp:inline distT="0" distB="0" distL="114300" distR="114300">
                  <wp:extent cx="5121910" cy="3896360"/>
                  <wp:effectExtent l="0" t="0" r="2540" b="889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11"/>
                          <a:stretch>
                            <a:fillRect/>
                          </a:stretch>
                        </pic:blipFill>
                        <pic:spPr>
                          <a:xfrm>
                            <a:off x="0" y="0"/>
                            <a:ext cx="5121910" cy="3896360"/>
                          </a:xfrm>
                          <a:prstGeom prst="rect">
                            <a:avLst/>
                          </a:prstGeom>
                          <a:noFill/>
                          <a:ln>
                            <a:noFill/>
                          </a:ln>
                        </pic:spPr>
                      </pic:pic>
                    </a:graphicData>
                  </a:graphic>
                </wp:inline>
              </w:drawing>
            </w:r>
          </w:p>
          <w:p>
            <w:pPr>
              <w:pStyle w:val="68"/>
              <w:spacing w:line="36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图3-1  本项目监测点位示意图</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表3-2  大气其他污染物补充监测点位基本信息表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434"/>
              <w:gridCol w:w="1329"/>
              <w:gridCol w:w="868"/>
              <w:gridCol w:w="1497"/>
              <w:gridCol w:w="982"/>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7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1705"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监测点坐标（度）</w:t>
                  </w:r>
                </w:p>
              </w:tc>
              <w:tc>
                <w:tcPr>
                  <w:tcW w:w="536"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因子</w:t>
                  </w:r>
                </w:p>
              </w:tc>
              <w:tc>
                <w:tcPr>
                  <w:tcW w:w="924"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606"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653"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rPr>
                    <w:cr/>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7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88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2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36"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924"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606"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653"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7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w:t>
                  </w:r>
                  <w:r>
                    <w:rPr>
                      <w:rFonts w:hint="default" w:ascii="Times New Roman" w:hAnsi="Times New Roman"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en-US" w:eastAsia="zh-CN"/>
                    </w:rPr>
                    <w:t>下风向</w:t>
                  </w:r>
                  <w:r>
                    <w:rPr>
                      <w:rFonts w:hint="eastAsia" w:cs="Times New Roman"/>
                      <w:color w:val="auto"/>
                      <w:sz w:val="21"/>
                      <w:szCs w:val="21"/>
                      <w:highlight w:val="none"/>
                      <w:lang w:val="en-US" w:eastAsia="zh-CN"/>
                    </w:rPr>
                    <w:t>10m</w:t>
                  </w:r>
                  <w:r>
                    <w:rPr>
                      <w:rFonts w:hint="default" w:ascii="Times New Roman" w:hAnsi="Times New Roman" w:eastAsia="宋体" w:cs="Times New Roman"/>
                      <w:color w:val="auto"/>
                      <w:sz w:val="21"/>
                      <w:szCs w:val="21"/>
                      <w:highlight w:val="none"/>
                      <w:lang w:val="en-US" w:eastAsia="zh-CN"/>
                    </w:rPr>
                    <w:t>处</w:t>
                  </w:r>
                </w:p>
              </w:tc>
              <w:tc>
                <w:tcPr>
                  <w:tcW w:w="88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127.05489054</w:t>
                  </w:r>
                </w:p>
              </w:tc>
              <w:tc>
                <w:tcPr>
                  <w:tcW w:w="82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45.23481654</w:t>
                  </w:r>
                </w:p>
              </w:tc>
              <w:tc>
                <w:tcPr>
                  <w:tcW w:w="53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tc>
              <w:tc>
                <w:tcPr>
                  <w:tcW w:w="92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日均值</w:t>
                  </w:r>
                </w:p>
              </w:tc>
              <w:tc>
                <w:tcPr>
                  <w:tcW w:w="60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NE</w:t>
                  </w:r>
                </w:p>
              </w:tc>
              <w:tc>
                <w:tcPr>
                  <w:tcW w:w="65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bl>
          <w:p>
            <w:pPr>
              <w:spacing w:line="240" w:lineRule="auto"/>
              <w:jc w:val="center"/>
              <w:rPr>
                <w:rFonts w:hint="default" w:ascii="Times New Roman" w:hAnsi="Times New Roman" w:cs="Times New Roman" w:eastAsiaTheme="minorEastAsia"/>
                <w:b/>
                <w:bCs/>
                <w:color w:val="auto"/>
                <w:kern w:val="2"/>
                <w:sz w:val="21"/>
                <w:szCs w:val="24"/>
                <w:lang w:val="en-US" w:eastAsia="zh-CN" w:bidi="ar-SA"/>
              </w:rPr>
            </w:pPr>
          </w:p>
          <w:p>
            <w:pPr>
              <w:spacing w:line="240" w:lineRule="auto"/>
              <w:jc w:val="center"/>
              <w:rPr>
                <w:rFonts w:hint="default" w:ascii="Times New Roman" w:hAnsi="Times New Roman" w:cs="Times New Roman" w:eastAsiaTheme="minorEastAsia"/>
                <w:b/>
                <w:bCs/>
                <w:color w:val="auto"/>
                <w:kern w:val="2"/>
                <w:sz w:val="21"/>
                <w:szCs w:val="24"/>
                <w:lang w:val="en-US" w:eastAsia="zh-CN" w:bidi="ar-SA"/>
              </w:rPr>
            </w:pPr>
          </w:p>
          <w:p>
            <w:pPr>
              <w:spacing w:line="240" w:lineRule="auto"/>
              <w:jc w:val="center"/>
              <w:rPr>
                <w:rFonts w:hint="default" w:ascii="Times New Roman" w:hAnsi="Times New Roman" w:cs="Times New Roman" w:eastAsiaTheme="minorEastAsia"/>
                <w:b/>
                <w:bCs/>
                <w:color w:val="auto"/>
                <w:kern w:val="2"/>
                <w:sz w:val="21"/>
                <w:szCs w:val="24"/>
                <w:lang w:val="en-US" w:eastAsia="zh-CN" w:bidi="ar-SA"/>
              </w:rPr>
            </w:pPr>
          </w:p>
          <w:p>
            <w:pPr>
              <w:spacing w:line="240" w:lineRule="auto"/>
              <w:jc w:val="center"/>
              <w:rPr>
                <w:rFonts w:hint="default" w:ascii="Times New Roman" w:hAnsi="Times New Roman" w:cs="Times New Roman"/>
                <w:b w:val="0"/>
                <w:bCs w:val="0"/>
                <w:color w:val="auto"/>
                <w:sz w:val="24"/>
                <w:highlight w:val="none"/>
              </w:rPr>
            </w:pPr>
            <w:r>
              <w:rPr>
                <w:rFonts w:hint="default" w:ascii="Times New Roman" w:hAnsi="Times New Roman" w:cs="Times New Roman" w:eastAsiaTheme="minorEastAsia"/>
                <w:b/>
                <w:bCs/>
                <w:color w:val="auto"/>
                <w:kern w:val="2"/>
                <w:sz w:val="21"/>
                <w:szCs w:val="24"/>
                <w:lang w:val="en-US" w:eastAsia="zh-CN" w:bidi="ar-SA"/>
              </w:rPr>
              <w:t>表3-3  大气其他污染物环境质量现状表（监测结果）</w:t>
            </w:r>
            <w:r>
              <w:rPr>
                <w:rFonts w:hint="default" w:ascii="Times New Roman" w:hAnsi="Times New Roman" w:cs="Times New Roman" w:eastAsiaTheme="minorEastAsia"/>
                <w:b/>
                <w:bCs/>
                <w:color w:val="auto"/>
                <w:kern w:val="2"/>
                <w:sz w:val="21"/>
                <w:szCs w:val="24"/>
                <w:lang w:val="en-US" w:eastAsia="zh-CN" w:bidi="ar-SA"/>
              </w:rPr>
              <w:tab/>
            </w:r>
            <w:r>
              <w:rPr>
                <w:rFonts w:hint="default" w:ascii="Times New Roman" w:hAnsi="Times New Roman" w:cs="Times New Roman" w:eastAsiaTheme="minorEastAsia"/>
                <w:b/>
                <w:bCs/>
                <w:color w:val="auto"/>
                <w:kern w:val="2"/>
                <w:sz w:val="21"/>
                <w:szCs w:val="24"/>
                <w:lang w:val="en-US" w:eastAsia="zh-CN" w:bidi="ar-SA"/>
              </w:rPr>
              <w:t>（单位：mg/m</w:t>
            </w:r>
            <w:r>
              <w:rPr>
                <w:rFonts w:hint="default" w:ascii="Times New Roman" w:hAnsi="Times New Roman" w:cs="Times New Roman" w:eastAsiaTheme="minorEastAsia"/>
                <w:b/>
                <w:bCs/>
                <w:color w:val="auto"/>
                <w:kern w:val="2"/>
                <w:sz w:val="21"/>
                <w:szCs w:val="24"/>
                <w:vertAlign w:val="superscript"/>
                <w:lang w:val="en-US" w:eastAsia="zh-CN" w:bidi="ar-SA"/>
              </w:rPr>
              <w:t>3</w:t>
            </w:r>
            <w:r>
              <w:rPr>
                <w:rFonts w:hint="default" w:ascii="Times New Roman" w:hAnsi="Times New Roman" w:cs="Times New Roman" w:eastAsiaTheme="minorEastAsia"/>
                <w:b/>
                <w:bCs/>
                <w:color w:val="auto"/>
                <w:kern w:val="2"/>
                <w:sz w:val="21"/>
                <w:szCs w:val="24"/>
                <w:lang w:val="en-US" w:eastAsia="zh-CN" w:bidi="ar-SA"/>
              </w:rPr>
              <w:t>）</w:t>
            </w:r>
          </w:p>
          <w:tbl>
            <w:tblPr>
              <w:tblStyle w:val="3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105"/>
              <w:gridCol w:w="1137"/>
              <w:gridCol w:w="1275"/>
              <w:gridCol w:w="1289"/>
              <w:gridCol w:w="985"/>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68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70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7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浓度范围</w:t>
                  </w:r>
                </w:p>
              </w:tc>
              <w:tc>
                <w:tcPr>
                  <w:tcW w:w="79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最大占标率%</w:t>
                  </w:r>
                </w:p>
              </w:tc>
              <w:tc>
                <w:tcPr>
                  <w:tcW w:w="60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7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厂</w:t>
                  </w:r>
                  <w:r>
                    <w:rPr>
                      <w:rFonts w:hint="default" w:ascii="Times New Roman" w:hAnsi="Times New Roman" w:cs="Times New Roman"/>
                      <w:color w:val="auto"/>
                      <w:sz w:val="21"/>
                      <w:szCs w:val="21"/>
                      <w:highlight w:val="none"/>
                      <w:lang w:val="en-US" w:eastAsia="zh-CN"/>
                    </w:rPr>
                    <w:t>区</w:t>
                  </w:r>
                  <w:r>
                    <w:rPr>
                      <w:rFonts w:hint="default" w:ascii="Times New Roman" w:hAnsi="Times New Roman" w:eastAsia="宋体" w:cs="Times New Roman"/>
                      <w:color w:val="auto"/>
                      <w:sz w:val="21"/>
                      <w:szCs w:val="21"/>
                      <w:highlight w:val="none"/>
                      <w:lang w:val="en-US" w:eastAsia="zh-CN"/>
                    </w:rPr>
                    <w:t>下风向</w:t>
                  </w:r>
                  <w:r>
                    <w:rPr>
                      <w:rFonts w:hint="eastAsia" w:cs="Times New Roman"/>
                      <w:color w:val="auto"/>
                      <w:sz w:val="21"/>
                      <w:szCs w:val="21"/>
                      <w:highlight w:val="none"/>
                      <w:lang w:val="en-US" w:eastAsia="zh-CN"/>
                    </w:rPr>
                    <w:t>10m</w:t>
                  </w:r>
                  <w:r>
                    <w:rPr>
                      <w:rFonts w:hint="default" w:ascii="Times New Roman" w:hAnsi="Times New Roman" w:eastAsia="宋体" w:cs="Times New Roman"/>
                      <w:color w:val="auto"/>
                      <w:sz w:val="21"/>
                      <w:szCs w:val="21"/>
                      <w:highlight w:val="none"/>
                      <w:lang w:val="en-US" w:eastAsia="zh-CN"/>
                    </w:rPr>
                    <w:t>处</w:t>
                  </w:r>
                </w:p>
              </w:tc>
              <w:tc>
                <w:tcPr>
                  <w:tcW w:w="68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w:t>
                  </w:r>
                </w:p>
              </w:tc>
              <w:tc>
                <w:tcPr>
                  <w:tcW w:w="70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7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0.1</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~0.1</w:t>
                  </w:r>
                  <w:r>
                    <w:rPr>
                      <w:rFonts w:hint="eastAsia" w:cs="Times New Roman"/>
                      <w:color w:val="auto"/>
                      <w:sz w:val="21"/>
                      <w:szCs w:val="21"/>
                      <w:highlight w:val="none"/>
                      <w:lang w:val="en-US" w:eastAsia="zh-CN"/>
                    </w:rPr>
                    <w:t>19</w:t>
                  </w:r>
                </w:p>
              </w:tc>
              <w:tc>
                <w:tcPr>
                  <w:tcW w:w="79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w:t>
                  </w:r>
                  <w:r>
                    <w:rPr>
                      <w:rFonts w:hint="default" w:ascii="Times New Roman" w:hAnsi="Times New Roman" w:cs="Times New Roman"/>
                      <w:color w:val="auto"/>
                      <w:sz w:val="21"/>
                      <w:szCs w:val="21"/>
                      <w:highlight w:val="none"/>
                      <w:lang w:val="en-US" w:eastAsia="zh-CN"/>
                    </w:rPr>
                    <w:t>.7</w:t>
                  </w:r>
                </w:p>
              </w:tc>
              <w:tc>
                <w:tcPr>
                  <w:tcW w:w="608"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70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由上表可知，本项目厂区下风向</w:t>
            </w:r>
            <w:r>
              <w:rPr>
                <w:rFonts w:hint="eastAsia" w:cs="Times New Roman"/>
                <w:b w:val="0"/>
                <w:bCs w:val="0"/>
                <w:color w:val="auto"/>
                <w:sz w:val="24"/>
                <w:szCs w:val="24"/>
                <w:highlight w:val="none"/>
                <w:lang w:val="en-US" w:eastAsia="zh-CN"/>
              </w:rPr>
              <w:t>10m</w:t>
            </w:r>
            <w:r>
              <w:rPr>
                <w:rFonts w:hint="default" w:ascii="Times New Roman" w:hAnsi="Times New Roman" w:cs="Times New Roman"/>
                <w:b w:val="0"/>
                <w:bCs w:val="0"/>
                <w:color w:val="auto"/>
                <w:sz w:val="24"/>
                <w:szCs w:val="24"/>
                <w:highlight w:val="none"/>
                <w:lang w:val="en-US" w:eastAsia="zh-CN"/>
              </w:rPr>
              <w:t>处</w:t>
            </w:r>
            <w:r>
              <w:rPr>
                <w:rFonts w:hint="default" w:ascii="Times New Roman" w:hAnsi="Times New Roman" w:cs="Times New Roman"/>
                <w:b w:val="0"/>
                <w:bCs w:val="0"/>
                <w:color w:val="auto"/>
                <w:sz w:val="24"/>
                <w:szCs w:val="24"/>
                <w:highlight w:val="none"/>
              </w:rPr>
              <w:t>总悬浮颗粒物日均值最大值为0.1</w:t>
            </w:r>
            <w:r>
              <w:rPr>
                <w:rFonts w:hint="eastAsia" w:cs="Times New Roman"/>
                <w:b w:val="0"/>
                <w:bCs w:val="0"/>
                <w:color w:val="auto"/>
                <w:sz w:val="24"/>
                <w:szCs w:val="24"/>
                <w:highlight w:val="none"/>
                <w:lang w:val="en-US" w:eastAsia="zh-CN"/>
              </w:rPr>
              <w:t>19</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，满足《环境空气质量标准》（GB3095-2012）中TSP日均值0.3mg/m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标准要求。本项目所在区域环境空气质量良好。</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rPr>
              <w:t>）环境空气质量现状评价结论</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highlight w:val="none"/>
              </w:rPr>
              <w:t>本项目所在区域为环境空气质量不达标区。监测结果表明，本项目厂区下风向</w:t>
            </w:r>
            <w:r>
              <w:rPr>
                <w:rFonts w:hint="eastAsia" w:cs="Times New Roman"/>
                <w:b w:val="0"/>
                <w:bCs w:val="0"/>
                <w:color w:val="auto"/>
                <w:sz w:val="24"/>
                <w:szCs w:val="24"/>
                <w:highlight w:val="none"/>
                <w:lang w:val="en-US" w:eastAsia="zh-CN"/>
              </w:rPr>
              <w:t>10m</w:t>
            </w:r>
            <w:r>
              <w:rPr>
                <w:rFonts w:hint="default" w:ascii="Times New Roman" w:hAnsi="Times New Roman" w:cs="Times New Roman"/>
                <w:b w:val="0"/>
                <w:bCs w:val="0"/>
                <w:color w:val="auto"/>
                <w:sz w:val="24"/>
                <w:szCs w:val="24"/>
                <w:highlight w:val="none"/>
                <w:lang w:val="en-US" w:eastAsia="zh-CN"/>
              </w:rPr>
              <w:t>处</w:t>
            </w:r>
            <w:r>
              <w:rPr>
                <w:rFonts w:hint="default" w:ascii="Times New Roman" w:hAnsi="Times New Roman" w:cs="Times New Roman"/>
                <w:b w:val="0"/>
                <w:bCs w:val="0"/>
                <w:color w:val="auto"/>
                <w:sz w:val="24"/>
                <w:szCs w:val="24"/>
                <w:highlight w:val="none"/>
              </w:rPr>
              <w:t>总悬浮颗粒物日均值度值</w:t>
            </w:r>
            <w:r>
              <w:rPr>
                <w:rFonts w:hint="default" w:ascii="Times New Roman" w:hAnsi="Times New Roman" w:cs="Times New Roman"/>
                <w:b w:val="0"/>
                <w:bCs w:val="0"/>
                <w:color w:val="auto"/>
                <w:sz w:val="24"/>
                <w:szCs w:val="24"/>
              </w:rPr>
              <w:t>满足《环境空气质量标准》（GB3095-2012）要求，区域环境空气质量良好。</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2、地表水环境质量现状</w:t>
            </w:r>
          </w:p>
          <w:p>
            <w:pPr>
              <w:spacing w:line="360" w:lineRule="auto"/>
              <w:ind w:firstLine="480" w:firstLineChars="200"/>
              <w:contextualSpacing/>
              <w:rPr>
                <w:rFonts w:hint="default" w:ascii="Times New Roman" w:hAnsi="Times New Roman" w:cs="Times New Roman"/>
                <w:b w:val="0"/>
                <w:bCs w:val="0"/>
                <w:color w:val="auto"/>
                <w:kern w:val="0"/>
                <w:sz w:val="24"/>
                <w:szCs w:val="24"/>
                <w:highlight w:val="none"/>
              </w:rPr>
            </w:pPr>
            <w:r>
              <w:rPr>
                <w:rFonts w:hint="default" w:ascii="Times New Roman" w:hAnsi="Times New Roman" w:cs="Times New Roman"/>
                <w:b w:val="0"/>
                <w:bCs w:val="0"/>
                <w:color w:val="auto"/>
                <w:sz w:val="24"/>
                <w:szCs w:val="24"/>
                <w:highlight w:val="none"/>
              </w:rPr>
              <w:t>本项目位于</w:t>
            </w:r>
            <w:r>
              <w:rPr>
                <w:rFonts w:hint="eastAsia" w:cs="Times New Roman"/>
                <w:b w:val="0"/>
                <w:bCs w:val="0"/>
                <w:color w:val="auto"/>
                <w:sz w:val="24"/>
                <w:szCs w:val="24"/>
                <w:highlight w:val="none"/>
                <w:lang w:val="en-US" w:eastAsia="zh-CN"/>
              </w:rPr>
              <w:t>黑龙江省哈尔滨市五常市八家子乡八家子村</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kern w:val="0"/>
                <w:sz w:val="24"/>
                <w:szCs w:val="24"/>
                <w:highlight w:val="none"/>
                <w:lang w:eastAsia="zh-CN"/>
              </w:rPr>
              <w:t>最近</w:t>
            </w:r>
            <w:r>
              <w:rPr>
                <w:rFonts w:hint="default" w:ascii="Times New Roman" w:hAnsi="Times New Roman" w:cs="Times New Roman"/>
                <w:b w:val="0"/>
                <w:bCs w:val="0"/>
                <w:color w:val="auto"/>
                <w:kern w:val="0"/>
                <w:sz w:val="24"/>
                <w:szCs w:val="24"/>
                <w:highlight w:val="none"/>
              </w:rPr>
              <w:t>水体为</w:t>
            </w:r>
            <w:r>
              <w:rPr>
                <w:rFonts w:hint="eastAsia" w:cs="Times New Roman"/>
                <w:b w:val="0"/>
                <w:bCs w:val="0"/>
                <w:color w:val="auto"/>
                <w:kern w:val="0"/>
                <w:sz w:val="24"/>
                <w:szCs w:val="24"/>
                <w:highlight w:val="none"/>
                <w:lang w:eastAsia="zh-CN"/>
              </w:rPr>
              <w:t>东小河子</w:t>
            </w:r>
            <w:r>
              <w:rPr>
                <w:rFonts w:hint="default" w:ascii="Times New Roman" w:hAnsi="Times New Roman" w:cs="Times New Roman"/>
                <w:b w:val="0"/>
                <w:bCs w:val="0"/>
                <w:color w:val="auto"/>
                <w:kern w:val="0"/>
                <w:sz w:val="24"/>
                <w:szCs w:val="24"/>
                <w:highlight w:val="none"/>
              </w:rPr>
              <w:t>，最终汇入</w:t>
            </w:r>
            <w:r>
              <w:rPr>
                <w:rFonts w:hint="eastAsia" w:cs="Times New Roman"/>
                <w:b w:val="0"/>
                <w:bCs w:val="0"/>
                <w:color w:val="auto"/>
                <w:kern w:val="0"/>
                <w:sz w:val="24"/>
                <w:szCs w:val="24"/>
                <w:highlight w:val="none"/>
                <w:lang w:eastAsia="zh-CN"/>
              </w:rPr>
              <w:t>阿什</w:t>
            </w:r>
            <w:r>
              <w:rPr>
                <w:rFonts w:hint="default" w:ascii="Times New Roman" w:hAnsi="Times New Roman" w:cs="Times New Roman"/>
                <w:b w:val="0"/>
                <w:bCs w:val="0"/>
                <w:color w:val="auto"/>
                <w:kern w:val="0"/>
                <w:sz w:val="24"/>
                <w:szCs w:val="24"/>
                <w:highlight w:val="none"/>
              </w:rPr>
              <w:t>河。位于</w:t>
            </w:r>
            <w:r>
              <w:rPr>
                <w:rFonts w:hint="eastAsia" w:cs="Times New Roman"/>
                <w:b w:val="0"/>
                <w:bCs w:val="0"/>
                <w:color w:val="auto"/>
                <w:kern w:val="0"/>
                <w:sz w:val="24"/>
                <w:szCs w:val="24"/>
                <w:highlight w:val="none"/>
                <w:lang w:val="en-US" w:eastAsia="zh-CN"/>
              </w:rPr>
              <w:t>马鞍山水文站</w:t>
            </w:r>
            <w:r>
              <w:rPr>
                <w:rFonts w:hint="default" w:ascii="Times New Roman" w:hAnsi="Times New Roman" w:cs="Times New Roman"/>
                <w:b w:val="0"/>
                <w:bCs w:val="0"/>
                <w:color w:val="auto"/>
                <w:kern w:val="0"/>
                <w:sz w:val="24"/>
                <w:szCs w:val="24"/>
                <w:highlight w:val="none"/>
                <w:lang w:val="en-US" w:eastAsia="zh-CN"/>
              </w:rPr>
              <w:t>-</w:t>
            </w:r>
            <w:r>
              <w:rPr>
                <w:rFonts w:hint="eastAsia" w:cs="Times New Roman"/>
                <w:b w:val="0"/>
                <w:bCs w:val="0"/>
                <w:color w:val="auto"/>
                <w:kern w:val="0"/>
                <w:sz w:val="24"/>
                <w:szCs w:val="24"/>
                <w:highlight w:val="none"/>
                <w:lang w:val="en-US" w:eastAsia="zh-CN"/>
              </w:rPr>
              <w:t>阿城市与哈尔滨市交界</w:t>
            </w:r>
            <w:r>
              <w:rPr>
                <w:rFonts w:hint="default" w:ascii="Times New Roman" w:hAnsi="Times New Roman" w:cs="Times New Roman"/>
                <w:b w:val="0"/>
                <w:bCs w:val="0"/>
                <w:color w:val="auto"/>
                <w:kern w:val="0"/>
                <w:sz w:val="24"/>
                <w:szCs w:val="24"/>
                <w:highlight w:val="none"/>
              </w:rPr>
              <w:t>范围内，根据《全国重要江河湖泊水功能区划》（2011-2030），</w:t>
            </w:r>
            <w:r>
              <w:rPr>
                <w:rFonts w:hint="eastAsia" w:cs="Times New Roman"/>
                <w:b w:val="0"/>
                <w:bCs w:val="0"/>
                <w:color w:val="auto"/>
                <w:kern w:val="0"/>
                <w:sz w:val="24"/>
                <w:szCs w:val="24"/>
                <w:highlight w:val="none"/>
                <w:lang w:val="en-US" w:eastAsia="zh-CN"/>
              </w:rPr>
              <w:t>马鞍山水文站</w:t>
            </w:r>
            <w:r>
              <w:rPr>
                <w:rFonts w:hint="default" w:ascii="Times New Roman" w:hAnsi="Times New Roman" w:cs="Times New Roman"/>
                <w:b w:val="0"/>
                <w:bCs w:val="0"/>
                <w:color w:val="auto"/>
                <w:kern w:val="0"/>
                <w:sz w:val="24"/>
                <w:szCs w:val="24"/>
                <w:highlight w:val="none"/>
                <w:lang w:val="en-US" w:eastAsia="zh-CN"/>
              </w:rPr>
              <w:t>-</w:t>
            </w:r>
            <w:r>
              <w:rPr>
                <w:rFonts w:hint="eastAsia" w:cs="Times New Roman"/>
                <w:b w:val="0"/>
                <w:bCs w:val="0"/>
                <w:color w:val="auto"/>
                <w:kern w:val="0"/>
                <w:sz w:val="24"/>
                <w:szCs w:val="24"/>
                <w:highlight w:val="none"/>
                <w:lang w:val="en-US" w:eastAsia="zh-CN"/>
              </w:rPr>
              <w:t>阿城市与哈尔滨市交界</w:t>
            </w:r>
            <w:r>
              <w:rPr>
                <w:rFonts w:hint="default" w:ascii="Times New Roman" w:hAnsi="Times New Roman" w:cs="Times New Roman"/>
                <w:b w:val="0"/>
                <w:bCs w:val="0"/>
                <w:color w:val="auto"/>
                <w:kern w:val="0"/>
                <w:sz w:val="24"/>
                <w:szCs w:val="24"/>
                <w:highlight w:val="none"/>
              </w:rPr>
              <w:t>为</w:t>
            </w:r>
            <w:r>
              <w:rPr>
                <w:rFonts w:hint="default" w:ascii="Times New Roman" w:hAnsi="Times New Roman" w:eastAsia="宋体" w:cs="Times New Roman"/>
                <w:b w:val="0"/>
                <w:bCs w:val="0"/>
                <w:color w:val="auto"/>
                <w:sz w:val="24"/>
                <w:szCs w:val="24"/>
                <w:highlight w:val="none"/>
                <w:lang w:val="en-US" w:eastAsia="zh-CN"/>
              </w:rPr>
              <w:t>Ⅳ</w:t>
            </w:r>
            <w:r>
              <w:rPr>
                <w:rFonts w:hint="default" w:ascii="Times New Roman" w:hAnsi="Times New Roman" w:cs="Times New Roman"/>
                <w:b w:val="0"/>
                <w:bCs w:val="0"/>
                <w:color w:val="auto"/>
                <w:kern w:val="0"/>
                <w:sz w:val="24"/>
                <w:szCs w:val="24"/>
                <w:highlight w:val="none"/>
              </w:rPr>
              <w:t>类，执行《地表水环境质量标准》（GB3838-2002）中的</w:t>
            </w:r>
            <w:r>
              <w:rPr>
                <w:rFonts w:hint="default" w:ascii="Times New Roman" w:hAnsi="Times New Roman" w:eastAsia="宋体" w:cs="Times New Roman"/>
                <w:b w:val="0"/>
                <w:bCs w:val="0"/>
                <w:color w:val="auto"/>
                <w:sz w:val="24"/>
                <w:szCs w:val="24"/>
                <w:highlight w:val="none"/>
                <w:lang w:val="en-US" w:eastAsia="zh-CN"/>
              </w:rPr>
              <w:t>Ⅳ</w:t>
            </w:r>
            <w:r>
              <w:rPr>
                <w:rFonts w:hint="default" w:ascii="Times New Roman" w:hAnsi="Times New Roman" w:cs="Times New Roman"/>
                <w:b w:val="0"/>
                <w:bCs w:val="0"/>
                <w:color w:val="auto"/>
                <w:kern w:val="0"/>
                <w:sz w:val="24"/>
                <w:szCs w:val="24"/>
                <w:highlight w:val="none"/>
              </w:rPr>
              <w:t>类标准。</w:t>
            </w:r>
          </w:p>
          <w:p>
            <w:pPr>
              <w:spacing w:line="360" w:lineRule="auto"/>
              <w:ind w:firstLine="480" w:firstLineChars="200"/>
              <w:contextualSpacing/>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kern w:val="0"/>
                <w:sz w:val="24"/>
                <w:szCs w:val="24"/>
                <w:highlight w:val="none"/>
              </w:rPr>
              <w:t>根据《哈尔滨市生态环境质量报告书2021年》公布的数据统计结果，2021年</w:t>
            </w:r>
            <w:r>
              <w:rPr>
                <w:rFonts w:hint="eastAsia" w:cs="Times New Roman"/>
                <w:b w:val="0"/>
                <w:bCs w:val="0"/>
                <w:color w:val="auto"/>
                <w:kern w:val="0"/>
                <w:sz w:val="24"/>
                <w:szCs w:val="24"/>
                <w:highlight w:val="none"/>
                <w:lang w:eastAsia="zh-CN"/>
              </w:rPr>
              <w:t>阿什</w:t>
            </w:r>
            <w:r>
              <w:rPr>
                <w:rFonts w:hint="default" w:ascii="Times New Roman" w:hAnsi="Times New Roman" w:cs="Times New Roman"/>
                <w:b w:val="0"/>
                <w:bCs w:val="0"/>
                <w:color w:val="auto"/>
                <w:kern w:val="0"/>
                <w:sz w:val="24"/>
                <w:szCs w:val="24"/>
                <w:highlight w:val="none"/>
              </w:rPr>
              <w:t>河</w:t>
            </w:r>
            <w:r>
              <w:rPr>
                <w:rFonts w:hint="eastAsia" w:cs="Times New Roman"/>
                <w:b w:val="0"/>
                <w:bCs w:val="0"/>
                <w:color w:val="auto"/>
                <w:kern w:val="0"/>
                <w:sz w:val="24"/>
                <w:szCs w:val="24"/>
                <w:highlight w:val="none"/>
                <w:lang w:eastAsia="zh-CN"/>
              </w:rPr>
              <w:t>河口内</w:t>
            </w:r>
            <w:r>
              <w:rPr>
                <w:rFonts w:hint="default" w:ascii="Times New Roman" w:hAnsi="Times New Roman" w:cs="Times New Roman"/>
                <w:b w:val="0"/>
                <w:bCs w:val="0"/>
                <w:color w:val="auto"/>
                <w:kern w:val="0"/>
                <w:sz w:val="24"/>
                <w:szCs w:val="24"/>
                <w:highlight w:val="none"/>
              </w:rPr>
              <w:t>监测断面水质</w:t>
            </w:r>
            <w:r>
              <w:rPr>
                <w:rFonts w:hint="default" w:ascii="Times New Roman" w:hAnsi="Times New Roman" w:cs="Times New Roman"/>
                <w:b w:val="0"/>
                <w:bCs w:val="0"/>
                <w:color w:val="auto"/>
                <w:kern w:val="0"/>
                <w:sz w:val="24"/>
                <w:szCs w:val="24"/>
                <w:highlight w:val="none"/>
                <w:lang w:eastAsia="zh-CN"/>
              </w:rPr>
              <w:t>现状</w:t>
            </w:r>
            <w:r>
              <w:rPr>
                <w:rFonts w:hint="default" w:ascii="Times New Roman" w:hAnsi="Times New Roman" w:cs="Times New Roman"/>
                <w:b w:val="0"/>
                <w:bCs w:val="0"/>
                <w:color w:val="auto"/>
                <w:kern w:val="0"/>
                <w:sz w:val="24"/>
                <w:szCs w:val="24"/>
                <w:highlight w:val="none"/>
              </w:rPr>
              <w:t>为</w:t>
            </w:r>
            <w:r>
              <w:rPr>
                <w:rFonts w:hint="default" w:ascii="Times New Roman" w:hAnsi="Times New Roman" w:eastAsia="宋体" w:cs="Times New Roman"/>
                <w:b w:val="0"/>
                <w:bCs w:val="0"/>
                <w:color w:val="auto"/>
                <w:sz w:val="24"/>
                <w:szCs w:val="24"/>
                <w:highlight w:val="none"/>
                <w:lang w:val="en-US" w:eastAsia="zh-CN"/>
              </w:rPr>
              <w:t>Ⅳ</w:t>
            </w:r>
            <w:r>
              <w:rPr>
                <w:rFonts w:hint="default" w:ascii="Times New Roman" w:hAnsi="Times New Roman" w:cs="Times New Roman"/>
                <w:b w:val="0"/>
                <w:bCs w:val="0"/>
                <w:color w:val="auto"/>
                <w:kern w:val="0"/>
                <w:sz w:val="24"/>
                <w:szCs w:val="24"/>
                <w:highlight w:val="none"/>
              </w:rPr>
              <w:t>类，现状水体质量满足《地表水环境质量标准》（GB3838-2002）</w:t>
            </w:r>
            <w:r>
              <w:rPr>
                <w:rFonts w:hint="default" w:ascii="Times New Roman" w:hAnsi="Times New Roman" w:eastAsia="宋体" w:cs="Times New Roman"/>
                <w:b w:val="0"/>
                <w:bCs w:val="0"/>
                <w:color w:val="auto"/>
                <w:sz w:val="24"/>
                <w:szCs w:val="24"/>
                <w:highlight w:val="none"/>
                <w:lang w:val="en-US" w:eastAsia="zh-CN"/>
              </w:rPr>
              <w:t>Ⅳ</w:t>
            </w:r>
            <w:r>
              <w:rPr>
                <w:rFonts w:hint="default" w:ascii="Times New Roman" w:hAnsi="Times New Roman" w:cs="Times New Roman"/>
                <w:b w:val="0"/>
                <w:bCs w:val="0"/>
                <w:color w:val="auto"/>
                <w:kern w:val="0"/>
                <w:sz w:val="24"/>
                <w:szCs w:val="24"/>
                <w:highlight w:val="none"/>
              </w:rPr>
              <w:t>类标准要求</w:t>
            </w:r>
            <w:r>
              <w:rPr>
                <w:rFonts w:hint="default" w:ascii="Times New Roman" w:hAnsi="Times New Roman" w:cs="Times New Roman"/>
                <w:b w:val="0"/>
                <w:bCs w:val="0"/>
                <w:color w:val="auto"/>
                <w:sz w:val="24"/>
                <w:szCs w:val="24"/>
                <w:highlight w:val="none"/>
              </w:rPr>
              <w:t>。</w:t>
            </w:r>
          </w:p>
          <w:p>
            <w:pPr>
              <w:pStyle w:val="47"/>
              <w:spacing w:line="360" w:lineRule="auto"/>
              <w:ind w:left="0" w:leftChars="0" w:firstLine="480" w:firstLineChars="200"/>
              <w:rPr>
                <w:rFonts w:hint="default" w:ascii="Times New Roman" w:hAnsi="Times New Roman" w:cs="Times New Roman"/>
                <w:b w:val="0"/>
                <w:bCs w:val="0"/>
                <w:color w:val="auto"/>
                <w:kern w:val="2"/>
                <w:sz w:val="24"/>
                <w:szCs w:val="24"/>
                <w:highlight w:val="none"/>
                <w:lang w:val="en-US" w:eastAsia="zh-CN"/>
              </w:rPr>
            </w:pPr>
            <w:r>
              <w:rPr>
                <w:rFonts w:hint="default" w:ascii="Times New Roman" w:hAnsi="Times New Roman" w:cs="Times New Roman"/>
                <w:b w:val="0"/>
                <w:bCs w:val="0"/>
                <w:color w:val="auto"/>
                <w:kern w:val="2"/>
                <w:sz w:val="24"/>
                <w:szCs w:val="24"/>
                <w:highlight w:val="none"/>
                <w:lang w:val="en-US" w:eastAsia="zh-CN"/>
              </w:rPr>
              <w:t>3、声环境质量现状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kern w:val="2"/>
                <w:sz w:val="24"/>
                <w:szCs w:val="24"/>
                <w:highlight w:val="none"/>
                <w:lang w:val="en-US" w:eastAsia="zh-CN" w:bidi="ar-SA"/>
              </w:rPr>
            </w:pPr>
            <w:r>
              <w:rPr>
                <w:rFonts w:hint="default" w:ascii="Times New Roman" w:hAnsi="Times New Roman" w:eastAsia="宋体" w:cs="Times New Roman"/>
                <w:b w:val="0"/>
                <w:bCs w:val="0"/>
                <w:snapToGrid w:val="0"/>
                <w:color w:val="auto"/>
                <w:kern w:val="2"/>
                <w:sz w:val="24"/>
                <w:szCs w:val="24"/>
                <w:highlight w:val="none"/>
                <w:lang w:val="en-US" w:eastAsia="zh-CN" w:bidi="ar-SA"/>
              </w:rPr>
              <w:t>（1）根据《哈尔滨市生态环境质量报告书2021年》，2021年哈尔滨市各县(市)城镇区域声环境平均等效声级及范围为50.9~66.4分贝，方正县平均等效声级最低，为50.9分贝；五常市最高，为66.4分贝。宾县、方正县、寿县和依兰县区域声环境质量为较好(二级)，木兰县、巴彦县、通河县和尚志市为一(三级)，五常市为差(五级)，符合《声环境质量标准》（GB3096-2008）中2类标准。</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（2）补充监测</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本项目厂界外周边50米范</w:t>
            </w:r>
            <w:r>
              <w:rPr>
                <w:rFonts w:hint="default" w:ascii="Times New Roman" w:hAnsi="Times New Roman" w:eastAsia="宋体" w:cs="Times New Roman"/>
                <w:b w:val="0"/>
                <w:bCs w:val="0"/>
                <w:snapToGrid w:val="0"/>
                <w:color w:val="auto"/>
                <w:kern w:val="2"/>
                <w:sz w:val="24"/>
                <w:szCs w:val="24"/>
                <w:highlight w:val="none"/>
                <w:lang w:val="en-US" w:eastAsia="zh-CN" w:bidi="ar-SA"/>
              </w:rPr>
              <w:t>围内声环境保护目标为</w:t>
            </w:r>
            <w:r>
              <w:rPr>
                <w:rFonts w:hint="eastAsia"/>
                <w:sz w:val="24"/>
                <w:szCs w:val="24"/>
              </w:rPr>
              <w:t>八家子村</w:t>
            </w:r>
            <w:r>
              <w:rPr>
                <w:rFonts w:hint="default" w:ascii="Times New Roman" w:hAnsi="Times New Roman" w:eastAsia="宋体" w:cs="Times New Roman"/>
                <w:b w:val="0"/>
                <w:bCs w:val="0"/>
                <w:snapToGrid w:val="0"/>
                <w:color w:val="auto"/>
                <w:kern w:val="2"/>
                <w:sz w:val="24"/>
                <w:szCs w:val="24"/>
                <w:highlight w:val="none"/>
                <w:lang w:val="zh-TW" w:eastAsia="zh-TW" w:bidi="ar-SA"/>
              </w:rPr>
              <w:t>，</w:t>
            </w:r>
            <w:r>
              <w:rPr>
                <w:rFonts w:hint="eastAsia"/>
                <w:sz w:val="24"/>
              </w:rPr>
              <w:t>本次监测选取</w:t>
            </w:r>
            <w:r>
              <w:rPr>
                <w:rFonts w:hint="eastAsia"/>
                <w:sz w:val="24"/>
                <w:lang w:eastAsia="zh-CN"/>
              </w:rPr>
              <w:t>东侧、</w:t>
            </w:r>
            <w:r>
              <w:rPr>
                <w:rFonts w:hint="eastAsia"/>
                <w:sz w:val="24"/>
              </w:rPr>
              <w:t>南侧</w:t>
            </w:r>
            <w:r>
              <w:rPr>
                <w:rFonts w:hint="eastAsia"/>
                <w:sz w:val="24"/>
                <w:lang w:eastAsia="zh-CN"/>
              </w:rPr>
              <w:t>、西</w:t>
            </w:r>
            <w:r>
              <w:rPr>
                <w:rFonts w:hint="eastAsia"/>
                <w:color w:val="auto"/>
                <w:sz w:val="24"/>
                <w:lang w:eastAsia="zh-CN"/>
              </w:rPr>
              <w:t>侧、北侧</w:t>
            </w:r>
            <w:r>
              <w:rPr>
                <w:rFonts w:hint="eastAsia"/>
                <w:color w:val="auto"/>
                <w:sz w:val="24"/>
              </w:rPr>
              <w:t>最近距离敏感点作为代表性监测点</w:t>
            </w:r>
            <w:r>
              <w:rPr>
                <w:rFonts w:hint="default" w:ascii="Times New Roman" w:hAnsi="Times New Roman" w:eastAsia="宋体" w:cs="Times New Roman"/>
                <w:b w:val="0"/>
                <w:bCs w:val="0"/>
                <w:snapToGrid w:val="0"/>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lang w:val="zh-TW" w:eastAsia="zh-TW"/>
              </w:rPr>
              <w:t>委托</w:t>
            </w:r>
            <w:r>
              <w:rPr>
                <w:rFonts w:hint="default" w:ascii="Times New Roman" w:hAnsi="Times New Roman" w:eastAsia="宋体" w:cs="Times New Roman"/>
                <w:b w:val="0"/>
                <w:bCs w:val="0"/>
                <w:snapToGrid w:val="0"/>
                <w:color w:val="auto"/>
                <w:kern w:val="2"/>
                <w:sz w:val="24"/>
                <w:szCs w:val="24"/>
                <w:highlight w:val="none"/>
                <w:lang w:val="en-US" w:eastAsia="zh-CN" w:bidi="ar-SA"/>
              </w:rPr>
              <w:t>黑龙江天福环保监测有限公司</w:t>
            </w:r>
            <w:r>
              <w:rPr>
                <w:rFonts w:hint="default" w:ascii="Times New Roman" w:hAnsi="Times New Roman" w:cs="Times New Roman"/>
                <w:b w:val="0"/>
                <w:bCs w:val="0"/>
                <w:color w:val="auto"/>
                <w:sz w:val="24"/>
                <w:szCs w:val="24"/>
                <w:highlight w:val="none"/>
                <w:lang w:val="zh-TW" w:eastAsia="zh-TW"/>
              </w:rPr>
              <w:t>20</w:t>
            </w:r>
            <w:r>
              <w:rPr>
                <w:rFonts w:hint="default" w:ascii="Times New Roman" w:hAnsi="Times New Roman" w:cs="Times New Roman"/>
                <w:b w:val="0"/>
                <w:bCs w:val="0"/>
                <w:color w:val="auto"/>
                <w:sz w:val="24"/>
                <w:szCs w:val="24"/>
                <w:highlight w:val="none"/>
              </w:rPr>
              <w:t>2</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zh-TW" w:eastAsia="zh-TW"/>
              </w:rPr>
              <w:t>年</w:t>
            </w:r>
            <w:r>
              <w:rPr>
                <w:rFonts w:hint="eastAsia" w:cs="Times New Roman"/>
                <w:b w:val="0"/>
                <w:bCs w:val="0"/>
                <w:color w:val="auto"/>
                <w:sz w:val="24"/>
                <w:szCs w:val="24"/>
                <w:highlight w:val="none"/>
                <w:lang w:val="en-US" w:eastAsia="zh-CN"/>
              </w:rPr>
              <w:t>7</w:t>
            </w:r>
            <w:r>
              <w:rPr>
                <w:rFonts w:hint="default" w:ascii="Times New Roman" w:hAnsi="Times New Roman" w:cs="Times New Roman"/>
                <w:b w:val="0"/>
                <w:bCs w:val="0"/>
                <w:color w:val="auto"/>
                <w:sz w:val="24"/>
                <w:szCs w:val="24"/>
                <w:highlight w:val="none"/>
                <w:lang w:val="zh-TW" w:eastAsia="zh-TW"/>
              </w:rPr>
              <w:t>月</w:t>
            </w:r>
            <w:r>
              <w:rPr>
                <w:rFonts w:hint="eastAsia" w:cs="Times New Roman"/>
                <w:b w:val="0"/>
                <w:bCs w:val="0"/>
                <w:color w:val="auto"/>
                <w:sz w:val="24"/>
                <w:szCs w:val="24"/>
                <w:highlight w:val="none"/>
                <w:lang w:val="en-US" w:eastAsia="zh-CN"/>
              </w:rPr>
              <w:t>28</w:t>
            </w:r>
            <w:r>
              <w:rPr>
                <w:rFonts w:hint="default" w:ascii="Times New Roman" w:hAnsi="Times New Roman" w:cs="Times New Roman"/>
                <w:b w:val="0"/>
                <w:bCs w:val="0"/>
                <w:color w:val="auto"/>
                <w:sz w:val="24"/>
                <w:szCs w:val="24"/>
                <w:highlight w:val="none"/>
                <w:lang w:val="zh-TW" w:eastAsia="zh-TW"/>
              </w:rPr>
              <w:t>日对项目所在区域进行监测。在</w:t>
            </w:r>
            <w:r>
              <w:rPr>
                <w:rFonts w:hint="default" w:ascii="Times New Roman" w:hAnsi="Times New Roman" w:cs="Times New Roman"/>
                <w:b w:val="0"/>
                <w:bCs w:val="0"/>
                <w:color w:val="auto"/>
                <w:sz w:val="24"/>
                <w:szCs w:val="24"/>
                <w:highlight w:val="none"/>
              </w:rPr>
              <w:t>厂区</w:t>
            </w:r>
            <w:r>
              <w:rPr>
                <w:rFonts w:hint="eastAsia"/>
                <w:color w:val="auto"/>
                <w:sz w:val="24"/>
                <w:lang w:eastAsia="zh-CN"/>
              </w:rPr>
              <w:t>东侧、</w:t>
            </w:r>
            <w:r>
              <w:rPr>
                <w:rFonts w:hint="eastAsia"/>
                <w:color w:val="auto"/>
                <w:sz w:val="24"/>
              </w:rPr>
              <w:t>南侧</w:t>
            </w:r>
            <w:r>
              <w:rPr>
                <w:rFonts w:hint="eastAsia"/>
                <w:color w:val="auto"/>
                <w:sz w:val="24"/>
                <w:lang w:eastAsia="zh-CN"/>
              </w:rPr>
              <w:t>、西侧、北侧</w:t>
            </w:r>
            <w:r>
              <w:rPr>
                <w:rFonts w:hint="eastAsia"/>
                <w:color w:val="auto"/>
                <w:sz w:val="24"/>
                <w:szCs w:val="24"/>
              </w:rPr>
              <w:t>八家子村</w:t>
            </w:r>
            <w:r>
              <w:rPr>
                <w:rFonts w:hint="default" w:ascii="Times New Roman" w:hAnsi="Times New Roman" w:cs="Times New Roman"/>
                <w:b w:val="0"/>
                <w:bCs w:val="0"/>
                <w:color w:val="auto"/>
                <w:sz w:val="24"/>
                <w:szCs w:val="24"/>
                <w:highlight w:val="none"/>
              </w:rPr>
              <w:t>设置</w:t>
            </w:r>
            <w:r>
              <w:rPr>
                <w:rFonts w:hint="eastAsia" w:cs="Times New Roman"/>
                <w:b w:val="0"/>
                <w:bCs w:val="0"/>
                <w:color w:val="auto"/>
                <w:sz w:val="24"/>
                <w:szCs w:val="24"/>
                <w:highlight w:val="none"/>
                <w:lang w:val="en-US" w:eastAsia="zh-CN"/>
              </w:rPr>
              <w:t>4监测点位</w:t>
            </w:r>
            <w:r>
              <w:rPr>
                <w:rFonts w:hint="default" w:ascii="Times New Roman" w:hAnsi="Times New Roman" w:cs="Times New Roman"/>
                <w:b w:val="0"/>
                <w:bCs w:val="0"/>
                <w:color w:val="auto"/>
                <w:sz w:val="24"/>
                <w:szCs w:val="24"/>
                <w:highlight w:val="none"/>
                <w:lang w:val="zh-TW" w:eastAsia="zh-TW"/>
              </w:rPr>
              <w:t>，监测点基本信息</w:t>
            </w:r>
            <w:r>
              <w:rPr>
                <w:rFonts w:hint="default" w:ascii="Times New Roman" w:hAnsi="Times New Roman" w:cs="Times New Roman"/>
                <w:b w:val="0"/>
                <w:bCs w:val="0"/>
                <w:color w:val="auto"/>
                <w:sz w:val="24"/>
                <w:szCs w:val="24"/>
                <w:highlight w:val="none"/>
              </w:rPr>
              <w:t>见表3-</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，监测点位见图3-2，评价结果见表3-</w:t>
            </w: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default" w:ascii="Times New Roman" w:hAnsi="Times New Roman" w:cs="Times New Roman" w:eastAsiaTheme="minorEastAsia"/>
                <w:b/>
                <w:bCs/>
                <w:color w:val="auto"/>
                <w:sz w:val="21"/>
                <w:szCs w:val="24"/>
                <w:lang w:val="en-US" w:eastAsia="zh-CN"/>
              </w:rPr>
              <w:t>4</w:t>
            </w:r>
            <w:r>
              <w:rPr>
                <w:rFonts w:hint="default" w:ascii="Times New Roman" w:hAnsi="Times New Roman" w:cs="Times New Roman" w:eastAsiaTheme="minorEastAsia"/>
                <w:b/>
                <w:bCs/>
                <w:color w:val="auto"/>
                <w:sz w:val="21"/>
                <w:szCs w:val="24"/>
              </w:rPr>
              <w:t xml:space="preserve">  补充监测点位基本信息</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424"/>
              <w:gridCol w:w="1360"/>
              <w:gridCol w:w="822"/>
              <w:gridCol w:w="1316"/>
              <w:gridCol w:w="970"/>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691"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p>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695"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监测点坐标/</w:t>
                  </w:r>
                  <w:r>
                    <w:rPr>
                      <w:rFonts w:hint="default" w:ascii="Times New Roman" w:hAnsi="Times New Roman" w:cs="Times New Roman"/>
                      <w:color w:val="auto"/>
                      <w:sz w:val="21"/>
                      <w:szCs w:val="21"/>
                      <w:highlight w:val="none"/>
                      <w:lang w:val="en-US" w:eastAsia="zh-CN"/>
                    </w:rPr>
                    <w:t>（度）</w:t>
                  </w:r>
                </w:p>
              </w:tc>
              <w:tc>
                <w:tcPr>
                  <w:tcW w:w="512"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81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监测时段</w:t>
                  </w:r>
                </w:p>
              </w:tc>
              <w:tc>
                <w:tcPr>
                  <w:tcW w:w="603"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68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91"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c>
                <w:tcPr>
                  <w:tcW w:w="851"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经度</w:t>
                  </w:r>
                </w:p>
              </w:tc>
              <w:tc>
                <w:tcPr>
                  <w:tcW w:w="84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纬度</w:t>
                  </w:r>
                </w:p>
              </w:tc>
              <w:tc>
                <w:tcPr>
                  <w:tcW w:w="512"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c>
                <w:tcPr>
                  <w:tcW w:w="81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c>
                <w:tcPr>
                  <w:tcW w:w="603"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c>
                <w:tcPr>
                  <w:tcW w:w="68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w:t>
                  </w:r>
                  <w:r>
                    <w:rPr>
                      <w:color w:val="auto"/>
                      <w:szCs w:val="21"/>
                    </w:rPr>
                    <w:t>1</w:t>
                  </w:r>
                  <w:r>
                    <w:rPr>
                      <w:rFonts w:hint="eastAsia"/>
                      <w:color w:val="auto"/>
                      <w:szCs w:val="21"/>
                    </w:rPr>
                    <w:t>八家子村（厂区东侧）</w:t>
                  </w:r>
                </w:p>
              </w:tc>
              <w:tc>
                <w:tcPr>
                  <w:tcW w:w="85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127.05585945</w:t>
                  </w:r>
                </w:p>
              </w:tc>
              <w:tc>
                <w:tcPr>
                  <w:tcW w:w="844"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45.23439161</w:t>
                  </w:r>
                </w:p>
              </w:tc>
              <w:tc>
                <w:tcPr>
                  <w:tcW w:w="512"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w:t>
                  </w:r>
                </w:p>
              </w:tc>
              <w:tc>
                <w:tcPr>
                  <w:tcW w:w="81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3年</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日</w:t>
                  </w:r>
                </w:p>
              </w:tc>
              <w:tc>
                <w:tcPr>
                  <w:tcW w:w="60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E</w:t>
                  </w:r>
                </w:p>
              </w:tc>
              <w:tc>
                <w:tcPr>
                  <w:tcW w:w="680"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112"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2</w:t>
                  </w:r>
                  <w:r>
                    <w:rPr>
                      <w:rFonts w:hint="eastAsia"/>
                      <w:color w:val="auto"/>
                      <w:szCs w:val="21"/>
                    </w:rPr>
                    <w:t>八家子村（厂区南侧）</w:t>
                  </w:r>
                </w:p>
              </w:tc>
              <w:tc>
                <w:tcPr>
                  <w:tcW w:w="85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127.05480411</w:t>
                  </w:r>
                </w:p>
              </w:tc>
              <w:tc>
                <w:tcPr>
                  <w:tcW w:w="844"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45.23304047</w:t>
                  </w:r>
                </w:p>
              </w:tc>
              <w:tc>
                <w:tcPr>
                  <w:tcW w:w="83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w:t>
                  </w:r>
                </w:p>
              </w:tc>
              <w:tc>
                <w:tcPr>
                  <w:tcW w:w="132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3年</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日</w:t>
                  </w:r>
                </w:p>
              </w:tc>
              <w:tc>
                <w:tcPr>
                  <w:tcW w:w="60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68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112"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3</w:t>
                  </w:r>
                  <w:r>
                    <w:rPr>
                      <w:rFonts w:hint="eastAsia"/>
                      <w:color w:val="auto"/>
                      <w:szCs w:val="21"/>
                    </w:rPr>
                    <w:t>八家子村（厂区西侧）</w:t>
                  </w:r>
                </w:p>
              </w:tc>
              <w:tc>
                <w:tcPr>
                  <w:tcW w:w="85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127.05336142</w:t>
                  </w:r>
                </w:p>
              </w:tc>
              <w:tc>
                <w:tcPr>
                  <w:tcW w:w="844"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45.23366460</w:t>
                  </w:r>
                </w:p>
              </w:tc>
              <w:tc>
                <w:tcPr>
                  <w:tcW w:w="83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w:t>
                  </w:r>
                </w:p>
              </w:tc>
              <w:tc>
                <w:tcPr>
                  <w:tcW w:w="132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3年</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日</w:t>
                  </w:r>
                </w:p>
              </w:tc>
              <w:tc>
                <w:tcPr>
                  <w:tcW w:w="60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w:t>
                  </w:r>
                </w:p>
              </w:tc>
              <w:tc>
                <w:tcPr>
                  <w:tcW w:w="68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112"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4</w:t>
                  </w:r>
                  <w:r>
                    <w:rPr>
                      <w:rFonts w:hint="eastAsia"/>
                      <w:color w:val="auto"/>
                      <w:szCs w:val="21"/>
                    </w:rPr>
                    <w:t>八家子村（厂区北侧）</w:t>
                  </w:r>
                </w:p>
              </w:tc>
              <w:tc>
                <w:tcPr>
                  <w:tcW w:w="85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127.05479364</w:t>
                  </w:r>
                </w:p>
              </w:tc>
              <w:tc>
                <w:tcPr>
                  <w:tcW w:w="844"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45.23482389</w:t>
                  </w:r>
                </w:p>
              </w:tc>
              <w:tc>
                <w:tcPr>
                  <w:tcW w:w="830"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w:t>
                  </w:r>
                </w:p>
              </w:tc>
              <w:tc>
                <w:tcPr>
                  <w:tcW w:w="1323"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3年</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lang w:val="en-US" w:eastAsia="zh-CN"/>
                    </w:rPr>
                    <w:t>日</w:t>
                  </w:r>
                </w:p>
              </w:tc>
              <w:tc>
                <w:tcPr>
                  <w:tcW w:w="60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N</w:t>
                  </w:r>
                </w:p>
              </w:tc>
              <w:tc>
                <w:tcPr>
                  <w:tcW w:w="68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r>
          </w:tbl>
          <w:p>
            <w:pPr>
              <w:pStyle w:val="19"/>
              <w:spacing w:after="0" w:line="240" w:lineRule="auto"/>
              <w:ind w:left="0" w:leftChars="0"/>
              <w:jc w:val="center"/>
              <w:rPr>
                <w:rFonts w:hint="default" w:ascii="Times New Roman" w:hAnsi="Times New Roman" w:cs="Times New Roman"/>
                <w:color w:val="auto"/>
              </w:rPr>
            </w:pPr>
          </w:p>
          <w:p>
            <w:pPr>
              <w:pStyle w:val="19"/>
              <w:spacing w:after="0" w:line="360" w:lineRule="auto"/>
              <w:ind w:left="0" w:leftChars="0"/>
              <w:jc w:val="center"/>
              <w:rPr>
                <w:rFonts w:hint="default" w:ascii="Times New Roman" w:hAnsi="Times New Roman" w:eastAsia="宋体" w:cs="Times New Roman"/>
                <w:color w:val="auto"/>
                <w:highlight w:val="none"/>
                <w:lang w:eastAsia="zh-CN"/>
              </w:rPr>
            </w:pPr>
            <w:r>
              <w:drawing>
                <wp:inline distT="0" distB="0" distL="114300" distR="114300">
                  <wp:extent cx="5121910" cy="3896360"/>
                  <wp:effectExtent l="0" t="0" r="2540" b="889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pic:cNvPicPr>
                        </pic:nvPicPr>
                        <pic:blipFill>
                          <a:blip r:embed="rId11"/>
                          <a:stretch>
                            <a:fillRect/>
                          </a:stretch>
                        </pic:blipFill>
                        <pic:spPr>
                          <a:xfrm>
                            <a:off x="0" y="0"/>
                            <a:ext cx="5121910" cy="3896360"/>
                          </a:xfrm>
                          <a:prstGeom prst="rect">
                            <a:avLst/>
                          </a:prstGeom>
                          <a:noFill/>
                          <a:ln>
                            <a:noFill/>
                          </a:ln>
                        </pic:spPr>
                      </pic:pic>
                    </a:graphicData>
                  </a:graphic>
                </wp:inline>
              </w:drawing>
            </w:r>
          </w:p>
          <w:p>
            <w:pPr>
              <w:pStyle w:val="68"/>
              <w:spacing w:line="36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图3-2 本项目噪声监测点位图</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本项目声环境质量现状监测结果见表3-</w:t>
            </w: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default" w:ascii="Times New Roman" w:hAnsi="Times New Roman" w:cs="Times New Roman" w:eastAsiaTheme="minorEastAsia"/>
                <w:b/>
                <w:bCs/>
                <w:color w:val="auto"/>
                <w:sz w:val="21"/>
                <w:szCs w:val="24"/>
                <w:lang w:val="en-US" w:eastAsia="zh-CN"/>
              </w:rPr>
              <w:t>5</w:t>
            </w:r>
            <w:r>
              <w:rPr>
                <w:rFonts w:hint="default" w:ascii="Times New Roman" w:hAnsi="Times New Roman" w:cs="Times New Roman" w:eastAsiaTheme="minorEastAsia"/>
                <w:b/>
                <w:bCs/>
                <w:color w:val="auto"/>
                <w:sz w:val="21"/>
                <w:szCs w:val="24"/>
              </w:rPr>
              <w:t xml:space="preserve">  本项目声环境质量评价结果</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1390"/>
              <w:gridCol w:w="1395"/>
              <w:gridCol w:w="1411"/>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6" w:type="pct"/>
                  <w:vMerge w:val="restart"/>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检测点位</w:t>
                  </w:r>
                </w:p>
              </w:tc>
              <w:tc>
                <w:tcPr>
                  <w:tcW w:w="1719" w:type="pct"/>
                  <w:gridSpan w:val="2"/>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2023年0</w:t>
                  </w:r>
                  <w:r>
                    <w:rPr>
                      <w:rFonts w:hint="eastAsia" w:cs="Times New Roman"/>
                      <w:b w:val="0"/>
                      <w:bCs/>
                      <w:color w:val="auto"/>
                      <w:sz w:val="21"/>
                      <w:szCs w:val="21"/>
                      <w:lang w:val="en-US" w:eastAsia="zh-CN"/>
                    </w:rPr>
                    <w:t>7</w:t>
                  </w:r>
                  <w:r>
                    <w:rPr>
                      <w:rFonts w:hint="default" w:ascii="Times New Roman" w:hAnsi="Times New Roman" w:cs="Times New Roman"/>
                      <w:b w:val="0"/>
                      <w:bCs/>
                      <w:color w:val="auto"/>
                      <w:sz w:val="21"/>
                      <w:szCs w:val="21"/>
                    </w:rPr>
                    <w:t>月</w:t>
                  </w:r>
                  <w:r>
                    <w:rPr>
                      <w:rFonts w:hint="eastAsia" w:cs="Times New Roman"/>
                      <w:b w:val="0"/>
                      <w:bCs/>
                      <w:color w:val="auto"/>
                      <w:sz w:val="21"/>
                      <w:szCs w:val="21"/>
                      <w:lang w:val="en-US" w:eastAsia="zh-CN"/>
                    </w:rPr>
                    <w:t>28</w:t>
                  </w:r>
                  <w:r>
                    <w:rPr>
                      <w:rFonts w:hint="default" w:ascii="Times New Roman" w:hAnsi="Times New Roman" w:cs="Times New Roman"/>
                      <w:b w:val="0"/>
                      <w:bCs/>
                      <w:color w:val="auto"/>
                      <w:sz w:val="21"/>
                      <w:szCs w:val="21"/>
                    </w:rPr>
                    <w:t>日</w:t>
                  </w:r>
                </w:p>
              </w:tc>
              <w:tc>
                <w:tcPr>
                  <w:tcW w:w="1743" w:type="pct"/>
                  <w:gridSpan w:val="2"/>
                  <w:tcBorders>
                    <w:tl2br w:val="nil"/>
                    <w:tr2bl w:val="nil"/>
                  </w:tcBorders>
                  <w:noWrap w:val="0"/>
                  <w:vAlign w:val="center"/>
                </w:tcPr>
                <w:p>
                  <w:pPr>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6" w:type="pct"/>
                  <w:vMerge w:val="continue"/>
                  <w:tcBorders>
                    <w:tl2br w:val="nil"/>
                    <w:tr2bl w:val="nil"/>
                  </w:tcBorders>
                  <w:noWrap w:val="0"/>
                  <w:vAlign w:val="center"/>
                </w:tcPr>
                <w:p>
                  <w:pPr>
                    <w:jc w:val="center"/>
                    <w:rPr>
                      <w:rFonts w:hint="default" w:ascii="Times New Roman" w:hAnsi="Times New Roman" w:cs="Times New Roman"/>
                      <w:b w:val="0"/>
                      <w:bCs/>
                      <w:color w:val="auto"/>
                      <w:sz w:val="21"/>
                      <w:szCs w:val="21"/>
                    </w:rPr>
                  </w:pPr>
                </w:p>
              </w:tc>
              <w:tc>
                <w:tcPr>
                  <w:tcW w:w="858" w:type="pct"/>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昼间</w:t>
                  </w:r>
                </w:p>
              </w:tc>
              <w:tc>
                <w:tcPr>
                  <w:tcW w:w="861" w:type="pct"/>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夜间</w:t>
                  </w:r>
                </w:p>
              </w:tc>
              <w:tc>
                <w:tcPr>
                  <w:tcW w:w="871" w:type="pct"/>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昼间</w:t>
                  </w:r>
                </w:p>
              </w:tc>
              <w:tc>
                <w:tcPr>
                  <w:tcW w:w="872" w:type="pct"/>
                  <w:tcBorders>
                    <w:tl2br w:val="nil"/>
                    <w:tr2bl w:val="nil"/>
                  </w:tcBorders>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8"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w:t>
                  </w:r>
                  <w:r>
                    <w:rPr>
                      <w:color w:val="auto"/>
                      <w:szCs w:val="21"/>
                    </w:rPr>
                    <w:t>1</w:t>
                  </w:r>
                  <w:r>
                    <w:rPr>
                      <w:rFonts w:hint="eastAsia"/>
                      <w:color w:val="auto"/>
                      <w:szCs w:val="21"/>
                    </w:rPr>
                    <w:t>八家子村（厂区东侧）</w:t>
                  </w:r>
                </w:p>
              </w:tc>
              <w:tc>
                <w:tcPr>
                  <w:tcW w:w="139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54</w:t>
                  </w:r>
                  <w:r>
                    <w:rPr>
                      <w:rFonts w:hint="default" w:ascii="Times New Roman" w:hAnsi="Times New Roman" w:cs="Times New Roman"/>
                      <w:color w:val="auto"/>
                      <w:sz w:val="21"/>
                      <w:szCs w:val="21"/>
                      <w:lang w:val="en-US" w:eastAsia="zh-CN"/>
                    </w:rPr>
                    <w:t>dB</w:t>
                  </w:r>
                </w:p>
              </w:tc>
              <w:tc>
                <w:tcPr>
                  <w:tcW w:w="13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44</w:t>
                  </w:r>
                  <w:r>
                    <w:rPr>
                      <w:rFonts w:hint="default" w:ascii="Times New Roman" w:hAnsi="Times New Roman" w:cs="Times New Roman"/>
                      <w:color w:val="auto"/>
                      <w:sz w:val="21"/>
                      <w:szCs w:val="21"/>
                      <w:lang w:val="en-US" w:eastAsia="zh-CN"/>
                    </w:rPr>
                    <w:t>dB</w:t>
                  </w:r>
                </w:p>
              </w:tc>
              <w:tc>
                <w:tcPr>
                  <w:tcW w:w="871"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60dB</w:t>
                  </w:r>
                </w:p>
              </w:tc>
              <w:tc>
                <w:tcPr>
                  <w:tcW w:w="872"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8"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2</w:t>
                  </w:r>
                  <w:r>
                    <w:rPr>
                      <w:rFonts w:hint="eastAsia"/>
                      <w:color w:val="auto"/>
                      <w:szCs w:val="21"/>
                    </w:rPr>
                    <w:t>八家子村（厂区南侧）</w:t>
                  </w:r>
                </w:p>
              </w:tc>
              <w:tc>
                <w:tcPr>
                  <w:tcW w:w="139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55</w:t>
                  </w:r>
                  <w:r>
                    <w:rPr>
                      <w:rFonts w:hint="default" w:ascii="Times New Roman" w:hAnsi="Times New Roman" w:cs="Times New Roman"/>
                      <w:color w:val="auto"/>
                      <w:sz w:val="21"/>
                      <w:szCs w:val="21"/>
                      <w:lang w:val="en-US" w:eastAsia="zh-CN"/>
                    </w:rPr>
                    <w:t>dB</w:t>
                  </w:r>
                </w:p>
              </w:tc>
              <w:tc>
                <w:tcPr>
                  <w:tcW w:w="13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44</w:t>
                  </w:r>
                  <w:r>
                    <w:rPr>
                      <w:rFonts w:hint="default" w:ascii="Times New Roman" w:hAnsi="Times New Roman" w:cs="Times New Roman"/>
                      <w:color w:val="auto"/>
                      <w:sz w:val="21"/>
                      <w:szCs w:val="21"/>
                      <w:lang w:val="en-US" w:eastAsia="zh-CN"/>
                    </w:rPr>
                    <w:t>dB</w:t>
                  </w:r>
                </w:p>
              </w:tc>
              <w:tc>
                <w:tcPr>
                  <w:tcW w:w="871"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c>
                <w:tcPr>
                  <w:tcW w:w="872"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8"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3</w:t>
                  </w:r>
                  <w:r>
                    <w:rPr>
                      <w:rFonts w:hint="eastAsia"/>
                      <w:color w:val="auto"/>
                      <w:szCs w:val="21"/>
                    </w:rPr>
                    <w:t>八家子村（厂区西侧）</w:t>
                  </w:r>
                </w:p>
              </w:tc>
              <w:tc>
                <w:tcPr>
                  <w:tcW w:w="139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53</w:t>
                  </w:r>
                  <w:r>
                    <w:rPr>
                      <w:rFonts w:hint="default" w:ascii="Times New Roman" w:hAnsi="Times New Roman" w:cs="Times New Roman"/>
                      <w:color w:val="auto"/>
                      <w:sz w:val="21"/>
                      <w:szCs w:val="21"/>
                      <w:lang w:val="en-US" w:eastAsia="zh-CN"/>
                    </w:rPr>
                    <w:t>dB</w:t>
                  </w:r>
                </w:p>
              </w:tc>
              <w:tc>
                <w:tcPr>
                  <w:tcW w:w="13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43</w:t>
                  </w:r>
                  <w:r>
                    <w:rPr>
                      <w:rFonts w:hint="default" w:ascii="Times New Roman" w:hAnsi="Times New Roman" w:cs="Times New Roman"/>
                      <w:color w:val="auto"/>
                      <w:sz w:val="21"/>
                      <w:szCs w:val="21"/>
                      <w:lang w:val="en-US" w:eastAsia="zh-CN"/>
                    </w:rPr>
                    <w:t>dB</w:t>
                  </w:r>
                </w:p>
              </w:tc>
              <w:tc>
                <w:tcPr>
                  <w:tcW w:w="871"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c>
                <w:tcPr>
                  <w:tcW w:w="872"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88" w:type="dxa"/>
                  <w:tcBorders>
                    <w:tl2br w:val="nil"/>
                    <w:tr2bl w:val="nil"/>
                  </w:tcBorders>
                  <w:noWrap w:val="0"/>
                  <w:vAlign w:val="center"/>
                </w:tcPr>
                <w:p>
                  <w:pPr>
                    <w:jc w:val="center"/>
                    <w:rPr>
                      <w:rFonts w:hint="default" w:ascii="Times New Roman" w:hAnsi="Times New Roman" w:eastAsia="宋体" w:cs="Times New Roman"/>
                      <w:bCs/>
                      <w:snapToGrid w:val="0"/>
                      <w:color w:val="auto"/>
                      <w:kern w:val="2"/>
                      <w:sz w:val="21"/>
                      <w:szCs w:val="21"/>
                      <w:highlight w:val="none"/>
                      <w:lang w:val="en-US" w:eastAsia="zh-CN" w:bidi="ar-SA"/>
                    </w:rPr>
                  </w:pPr>
                  <w:r>
                    <w:rPr>
                      <w:rFonts w:hint="eastAsia"/>
                      <w:color w:val="auto"/>
                      <w:szCs w:val="21"/>
                    </w:rPr>
                    <w:t>▲</w:t>
                  </w:r>
                  <w:r>
                    <w:rPr>
                      <w:rFonts w:hint="eastAsia"/>
                      <w:color w:val="auto"/>
                      <w:szCs w:val="21"/>
                      <w:lang w:val="en-US" w:eastAsia="zh-CN"/>
                    </w:rPr>
                    <w:t>4</w:t>
                  </w:r>
                  <w:r>
                    <w:rPr>
                      <w:rFonts w:hint="eastAsia"/>
                      <w:color w:val="auto"/>
                      <w:szCs w:val="21"/>
                    </w:rPr>
                    <w:t>八家子村（厂区北侧）</w:t>
                  </w:r>
                </w:p>
              </w:tc>
              <w:tc>
                <w:tcPr>
                  <w:tcW w:w="1390"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52</w:t>
                  </w:r>
                  <w:r>
                    <w:rPr>
                      <w:rFonts w:hint="default" w:ascii="Times New Roman" w:hAnsi="Times New Roman" w:cs="Times New Roman"/>
                      <w:color w:val="auto"/>
                      <w:sz w:val="21"/>
                      <w:szCs w:val="21"/>
                      <w:lang w:val="en-US" w:eastAsia="zh-CN"/>
                    </w:rPr>
                    <w:t>dB</w:t>
                  </w:r>
                </w:p>
              </w:tc>
              <w:tc>
                <w:tcPr>
                  <w:tcW w:w="13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szCs w:val="21"/>
                    </w:rPr>
                    <w:t>41</w:t>
                  </w:r>
                  <w:r>
                    <w:rPr>
                      <w:rFonts w:hint="default" w:ascii="Times New Roman" w:hAnsi="Times New Roman" w:cs="Times New Roman"/>
                      <w:color w:val="auto"/>
                      <w:sz w:val="21"/>
                      <w:szCs w:val="21"/>
                      <w:lang w:val="en-US" w:eastAsia="zh-CN"/>
                    </w:rPr>
                    <w:t>dB</w:t>
                  </w:r>
                </w:p>
              </w:tc>
              <w:tc>
                <w:tcPr>
                  <w:tcW w:w="871"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c>
                <w:tcPr>
                  <w:tcW w:w="872" w:type="pct"/>
                  <w:vMerge w:val="continue"/>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p>
              </w:tc>
            </w:tr>
          </w:tbl>
          <w:p>
            <w:pPr>
              <w:widowControl/>
              <w:numPr>
                <w:ilvl w:val="0"/>
                <w:numId w:val="0"/>
              </w:numPr>
              <w:snapToGrid w:val="0"/>
              <w:spacing w:line="360" w:lineRule="auto"/>
              <w:ind w:right="0" w:rightChars="0" w:firstLine="480" w:firstLineChars="200"/>
              <w:jc w:val="both"/>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声环境保护目标噪声监测点昼间、夜间监测结果均满足《声环境质量标准》（GB3096-2008）中的2类区标准限值，项目所在区域声环境</w:t>
            </w:r>
            <w:r>
              <w:rPr>
                <w:rFonts w:hint="default" w:ascii="Times New Roman" w:hAnsi="Times New Roman" w:eastAsia="宋体" w:cs="Times New Roman"/>
                <w:b w:val="0"/>
                <w:bCs w:val="0"/>
                <w:color w:val="auto"/>
                <w:kern w:val="0"/>
                <w:sz w:val="24"/>
                <w:szCs w:val="24"/>
                <w:lang w:val="en-US" w:eastAsia="zh-CN" w:bidi="ar-SA"/>
              </w:rPr>
              <w:t>质量良好。</w:t>
            </w:r>
          </w:p>
          <w:p>
            <w:pPr>
              <w:pStyle w:val="42"/>
              <w:spacing w:beforeLines="0" w:afterLines="0" w:line="360" w:lineRule="auto"/>
              <w:ind w:right="0" w:firstLine="480" w:firstLineChars="200"/>
              <w:contextualSpacing/>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、生态环境</w:t>
            </w:r>
          </w:p>
          <w:p>
            <w:pPr>
              <w:spacing w:line="360" w:lineRule="auto"/>
              <w:ind w:right="0" w:firstLine="480" w:firstLineChars="200"/>
              <w:contextualSpacing/>
              <w:jc w:val="left"/>
              <w:rPr>
                <w:rFonts w:hint="default" w:ascii="Times New Roman" w:hAnsi="Times New Roman" w:cs="Times New Roman"/>
                <w:b w:val="0"/>
                <w:bCs w:val="0"/>
                <w:color w:val="auto"/>
                <w:kern w:val="0"/>
                <w:sz w:val="24"/>
                <w:szCs w:val="24"/>
                <w:highlight w:val="none"/>
              </w:rPr>
            </w:pPr>
            <w:r>
              <w:rPr>
                <w:rFonts w:hint="default" w:ascii="Times New Roman" w:hAnsi="Times New Roman" w:eastAsia="宋体" w:cs="Times New Roman"/>
                <w:b w:val="0"/>
                <w:bCs w:val="0"/>
                <w:snapToGrid w:val="0"/>
                <w:color w:val="auto"/>
                <w:kern w:val="2"/>
                <w:sz w:val="24"/>
                <w:szCs w:val="24"/>
                <w:highlight w:val="none"/>
                <w:lang w:val="en-US" w:eastAsia="zh-CN" w:bidi="ar-SA"/>
              </w:rPr>
              <w:t>本项目用地为建设用地，用地范围内无生态环境保护目标，因此不进行生态现状调查。</w:t>
            </w:r>
          </w:p>
          <w:p>
            <w:pPr>
              <w:pStyle w:val="42"/>
              <w:spacing w:beforeLines="0" w:afterLines="0" w:line="360" w:lineRule="auto"/>
              <w:ind w:right="0" w:firstLine="480" w:firstLineChars="200"/>
              <w:contextualSpacing/>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、土壤环境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2"/>
                <w:sz w:val="24"/>
                <w:szCs w:val="24"/>
                <w:highlight w:val="none"/>
                <w:lang w:val="en-US" w:eastAsia="zh-CN" w:bidi="ar-SA"/>
              </w:rPr>
              <w:t>本项目属于</w:t>
            </w:r>
            <w:r>
              <w:rPr>
                <w:rFonts w:hint="eastAsia" w:ascii="Times New Roman" w:hAnsi="Times New Roman" w:cs="Times New Roman"/>
                <w:b w:val="0"/>
                <w:bCs w:val="0"/>
                <w:snapToGrid w:val="0"/>
                <w:color w:val="auto"/>
                <w:kern w:val="2"/>
                <w:sz w:val="24"/>
                <w:szCs w:val="24"/>
                <w:highlight w:val="none"/>
                <w:lang w:val="en-US" w:eastAsia="zh-CN" w:bidi="ar-SA"/>
              </w:rPr>
              <w:t>鲜食玉米加工</w:t>
            </w:r>
            <w:r>
              <w:rPr>
                <w:rFonts w:hint="default" w:ascii="Times New Roman" w:hAnsi="Times New Roman" w:eastAsia="宋体" w:cs="Times New Roman"/>
                <w:b w:val="0"/>
                <w:bCs w:val="0"/>
                <w:snapToGrid w:val="0"/>
                <w:color w:val="auto"/>
                <w:kern w:val="2"/>
                <w:sz w:val="24"/>
                <w:szCs w:val="24"/>
                <w:highlight w:val="none"/>
                <w:lang w:val="en-US" w:eastAsia="zh-CN" w:bidi="ar-SA"/>
              </w:rPr>
              <w:t>项目，不存在土壤污染途径，因此，不进行土壤环境质量现状监测。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9" w:hRule="atLeast"/>
          <w:jc w:val="center"/>
        </w:trPr>
        <w:tc>
          <w:tcPr>
            <w:tcW w:w="736" w:type="dxa"/>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highlight w:val="none"/>
              </w:rPr>
              <w:t>环境保护目标</w:t>
            </w:r>
          </w:p>
        </w:tc>
        <w:tc>
          <w:tcPr>
            <w:tcW w:w="8325" w:type="dxa"/>
            <w:vAlign w:val="center"/>
          </w:tcPr>
          <w:p>
            <w:pPr>
              <w:pStyle w:val="45"/>
              <w:adjustRightInd w:val="0"/>
              <w:snapToGrid w:val="0"/>
              <w:spacing w:line="360" w:lineRule="auto"/>
              <w:ind w:firstLine="482"/>
              <w:rPr>
                <w:rFonts w:hint="default" w:ascii="Times New Roman" w:hAnsi="Times New Roman" w:eastAsia="宋体" w:cs="Times New Roman"/>
                <w:b w:val="0"/>
                <w:bCs w:val="0"/>
                <w:color w:val="auto"/>
                <w:sz w:val="24"/>
                <w:szCs w:val="24"/>
              </w:rPr>
            </w:pPr>
            <w:bookmarkStart w:id="17" w:name="_Hlk72490597"/>
            <w:r>
              <w:rPr>
                <w:rFonts w:hint="default" w:ascii="Times New Roman" w:hAnsi="Times New Roman" w:eastAsia="宋体" w:cs="Times New Roman"/>
                <w:b w:val="0"/>
                <w:bCs w:val="0"/>
                <w:color w:val="auto"/>
                <w:sz w:val="24"/>
                <w:szCs w:val="24"/>
              </w:rPr>
              <w:t>1、大气环境保护目标</w:t>
            </w:r>
          </w:p>
          <w:p>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本项目位于</w:t>
            </w:r>
            <w:r>
              <w:rPr>
                <w:rFonts w:hint="eastAsia" w:cs="Times New Roman"/>
                <w:b w:val="0"/>
                <w:bCs w:val="0"/>
                <w:color w:val="auto"/>
                <w:sz w:val="24"/>
                <w:szCs w:val="24"/>
                <w:lang w:val="en-US" w:eastAsia="zh-CN"/>
              </w:rPr>
              <w:t>黑龙江省哈尔滨市五常市八家子乡八家子村</w:t>
            </w:r>
            <w:r>
              <w:rPr>
                <w:rFonts w:hint="default" w:ascii="Times New Roman" w:hAnsi="Times New Roman" w:eastAsia="宋体" w:cs="Times New Roman"/>
                <w:b w:val="0"/>
                <w:bCs w:val="0"/>
                <w:color w:val="auto"/>
                <w:sz w:val="24"/>
                <w:szCs w:val="24"/>
                <w:lang w:val="en-US" w:eastAsia="zh-CN"/>
              </w:rPr>
              <w:t>，厂界外500米范围内无自然保护区、</w:t>
            </w:r>
            <w:r>
              <w:rPr>
                <w:rFonts w:hint="default" w:ascii="Times New Roman" w:hAnsi="Times New Roman" w:eastAsia="宋体" w:cs="Times New Roman"/>
                <w:b w:val="0"/>
                <w:bCs w:val="0"/>
                <w:color w:val="auto"/>
                <w:sz w:val="24"/>
                <w:szCs w:val="24"/>
                <w:lang w:val="zh-CN" w:eastAsia="zh-CN"/>
              </w:rPr>
              <w:t>风景名胜区</w:t>
            </w:r>
            <w:r>
              <w:rPr>
                <w:rFonts w:hint="default" w:ascii="Times New Roman" w:hAnsi="Times New Roman" w:eastAsia="宋体" w:cs="Times New Roman"/>
                <w:b w:val="0"/>
                <w:bCs w:val="0"/>
                <w:color w:val="auto"/>
                <w:sz w:val="24"/>
                <w:szCs w:val="24"/>
                <w:lang w:val="en-US" w:eastAsia="zh-CN"/>
              </w:rPr>
              <w:t>。本项目大气环境保护目标见下表3-</w:t>
            </w:r>
            <w:r>
              <w:rPr>
                <w:rFonts w:hint="eastAsia" w:ascii="Times New Roman" w:hAnsi="Times New Roman"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eastAsia" w:ascii="Times New Roman" w:hAnsi="Times New Roman" w:cs="Times New Roman" w:eastAsiaTheme="minorEastAsia"/>
                <w:b/>
                <w:bCs/>
                <w:color w:val="auto"/>
                <w:sz w:val="21"/>
                <w:szCs w:val="24"/>
                <w:lang w:val="en-US" w:eastAsia="zh-CN"/>
              </w:rPr>
              <w:t xml:space="preserve">6 </w:t>
            </w:r>
            <w:r>
              <w:rPr>
                <w:rFonts w:hint="default" w:ascii="Times New Roman" w:hAnsi="Times New Roman" w:cs="Times New Roman" w:eastAsiaTheme="minorEastAsia"/>
                <w:b/>
                <w:bCs/>
                <w:color w:val="auto"/>
                <w:sz w:val="21"/>
                <w:szCs w:val="24"/>
              </w:rPr>
              <w:t xml:space="preserve"> 大气环境保护目标</w:t>
            </w:r>
          </w:p>
          <w:tbl>
            <w:tblPr>
              <w:tblStyle w:val="32"/>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424"/>
              <w:gridCol w:w="1321"/>
              <w:gridCol w:w="497"/>
              <w:gridCol w:w="753"/>
              <w:gridCol w:w="1418"/>
              <w:gridCol w:w="764"/>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54"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695" w:type="pct"/>
                  <w:gridSpan w:val="2"/>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坐标/°</w:t>
                  </w:r>
                </w:p>
              </w:tc>
              <w:tc>
                <w:tcPr>
                  <w:tcW w:w="307"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保护对象</w:t>
                  </w:r>
                </w:p>
              </w:tc>
              <w:tc>
                <w:tcPr>
                  <w:tcW w:w="465"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保护内容</w:t>
                  </w:r>
                </w:p>
              </w:tc>
              <w:tc>
                <w:tcPr>
                  <w:tcW w:w="876"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c>
                <w:tcPr>
                  <w:tcW w:w="472"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相对厂址方位</w:t>
                  </w:r>
                </w:p>
              </w:tc>
              <w:tc>
                <w:tcPr>
                  <w:tcW w:w="530"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654"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879"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东经</w:t>
                  </w:r>
                </w:p>
              </w:tc>
              <w:tc>
                <w:tcPr>
                  <w:tcW w:w="816"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北纬</w:t>
                  </w:r>
                </w:p>
              </w:tc>
              <w:tc>
                <w:tcPr>
                  <w:tcW w:w="307"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465"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876"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472"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530"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4" w:type="pct"/>
                  <w:tcBorders>
                    <w:tl2br w:val="nil"/>
                    <w:tr2bl w:val="nil"/>
                  </w:tcBorders>
                  <w:noWrap w:val="0"/>
                  <w:vAlign w:val="center"/>
                </w:tcPr>
                <w:p>
                  <w:pPr>
                    <w:shd w:val="clear"/>
                    <w:spacing w:beforeLines="0" w:afterLines="0" w:line="240" w:lineRule="auto"/>
                    <w:ind w:left="-105" w:leftChars="-50" w:right="-105" w:rightChars="-50" w:firstLine="0" w:firstLineChars="0"/>
                    <w:jc w:val="center"/>
                    <w:rPr>
                      <w:rFonts w:hint="default" w:ascii="Times New Roman" w:hAnsi="Times New Roman" w:cs="Times New Roman"/>
                      <w:sz w:val="21"/>
                      <w:szCs w:val="21"/>
                    </w:rPr>
                  </w:pPr>
                  <w:r>
                    <w:rPr>
                      <w:rFonts w:hint="eastAsia" w:cs="Times New Roman"/>
                      <w:b w:val="0"/>
                      <w:bCs w:val="0"/>
                      <w:color w:val="auto"/>
                      <w:sz w:val="21"/>
                      <w:szCs w:val="21"/>
                      <w:lang w:val="en-US" w:eastAsia="zh-CN"/>
                    </w:rPr>
                    <w:t>八家子村（厂区东北侧）</w:t>
                  </w:r>
                </w:p>
              </w:tc>
              <w:tc>
                <w:tcPr>
                  <w:tcW w:w="879"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127.05488515</w:t>
                  </w:r>
                </w:p>
              </w:tc>
              <w:tc>
                <w:tcPr>
                  <w:tcW w:w="816"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45.23474851</w:t>
                  </w:r>
                </w:p>
              </w:tc>
              <w:tc>
                <w:tcPr>
                  <w:tcW w:w="307"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居住区</w:t>
                  </w:r>
                </w:p>
              </w:tc>
              <w:tc>
                <w:tcPr>
                  <w:tcW w:w="465"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color w:val="auto"/>
                      <w:sz w:val="21"/>
                      <w:szCs w:val="21"/>
                      <w:highlight w:val="none"/>
                      <w:lang w:val="en-US" w:eastAsia="zh-CN"/>
                    </w:rPr>
                    <w:t>村</w:t>
                  </w:r>
                  <w:r>
                    <w:rPr>
                      <w:rFonts w:hint="default" w:ascii="Times New Roman" w:hAnsi="Times New Roman" w:cs="Times New Roman"/>
                      <w:color w:val="auto"/>
                      <w:sz w:val="21"/>
                      <w:szCs w:val="21"/>
                      <w:highlight w:val="none"/>
                      <w:lang w:val="en-US" w:eastAsia="zh-CN"/>
                    </w:rPr>
                    <w:t>民</w:t>
                  </w:r>
                </w:p>
              </w:tc>
              <w:tc>
                <w:tcPr>
                  <w:tcW w:w="876" w:type="pct"/>
                  <w:vMerge w:val="restar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lang w:val="en-US" w:eastAsia="zh-CN"/>
                    </w:rPr>
                    <w:t>GB3095-2012二类区</w:t>
                  </w:r>
                </w:p>
              </w:tc>
              <w:tc>
                <w:tcPr>
                  <w:tcW w:w="764" w:type="dxa"/>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NW</w:t>
                  </w:r>
                </w:p>
              </w:tc>
              <w:tc>
                <w:tcPr>
                  <w:tcW w:w="858" w:type="dxa"/>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654" w:type="pct"/>
                  <w:tcBorders>
                    <w:tl2br w:val="nil"/>
                    <w:tr2bl w:val="nil"/>
                  </w:tcBorders>
                  <w:noWrap w:val="0"/>
                  <w:vAlign w:val="center"/>
                </w:tcPr>
                <w:p>
                  <w:pPr>
                    <w:shd w:val="clear"/>
                    <w:spacing w:beforeLines="0" w:afterLines="0" w:line="240" w:lineRule="auto"/>
                    <w:ind w:left="-105" w:leftChars="-50" w:right="-105" w:rightChars="-50" w:firstLine="0" w:firstLineChars="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八家子村（厂区西南侧）</w:t>
                  </w:r>
                </w:p>
              </w:tc>
              <w:tc>
                <w:tcPr>
                  <w:tcW w:w="879"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127.05463728</w:t>
                  </w:r>
                </w:p>
              </w:tc>
              <w:tc>
                <w:tcPr>
                  <w:tcW w:w="816"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45.23339907</w:t>
                  </w:r>
                </w:p>
              </w:tc>
              <w:tc>
                <w:tcPr>
                  <w:tcW w:w="307"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highlight w:val="none"/>
                      <w:lang w:val="en-US" w:eastAsia="zh-CN"/>
                    </w:rPr>
                    <w:t>居住区</w:t>
                  </w:r>
                </w:p>
              </w:tc>
              <w:tc>
                <w:tcPr>
                  <w:tcW w:w="465" w:type="pct"/>
                  <w:tcBorders>
                    <w:tl2br w:val="nil"/>
                    <w:tr2bl w:val="nil"/>
                  </w:tcBorders>
                  <w:noWrap w:val="0"/>
                  <w:vAlign w:val="center"/>
                </w:tcPr>
                <w:p>
                  <w:pPr>
                    <w:pStyle w:val="51"/>
                    <w:shd w:val="clear"/>
                    <w:spacing w:beforeLines="0" w:afterLines="0"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 w:val="21"/>
                      <w:szCs w:val="21"/>
                      <w:highlight w:val="none"/>
                      <w:lang w:val="en-US" w:eastAsia="zh-CN"/>
                    </w:rPr>
                    <w:t>村</w:t>
                  </w:r>
                  <w:r>
                    <w:rPr>
                      <w:rFonts w:hint="default" w:ascii="Times New Roman" w:hAnsi="Times New Roman" w:cs="Times New Roman"/>
                      <w:color w:val="auto"/>
                      <w:sz w:val="21"/>
                      <w:szCs w:val="21"/>
                      <w:highlight w:val="none"/>
                      <w:lang w:val="en-US" w:eastAsia="zh-CN"/>
                    </w:rPr>
                    <w:t>民</w:t>
                  </w:r>
                </w:p>
              </w:tc>
              <w:tc>
                <w:tcPr>
                  <w:tcW w:w="876"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764" w:type="dxa"/>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w:t>
                  </w:r>
                  <w:r>
                    <w:rPr>
                      <w:rFonts w:hint="eastAsia" w:ascii="Times New Roman" w:hAnsi="Times New Roman" w:cs="Times New Roman"/>
                      <w:sz w:val="21"/>
                      <w:szCs w:val="21"/>
                      <w:lang w:val="en-US" w:eastAsia="zh-CN"/>
                    </w:rPr>
                    <w:t>W</w:t>
                  </w:r>
                </w:p>
              </w:tc>
              <w:tc>
                <w:tcPr>
                  <w:tcW w:w="858" w:type="dxa"/>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color w:val="auto"/>
                      <w:kern w:val="2"/>
                      <w:sz w:val="21"/>
                      <w:szCs w:val="21"/>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54"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乐乐</w:t>
                  </w:r>
                  <w:r>
                    <w:rPr>
                      <w:rFonts w:hint="default" w:ascii="Times New Roman" w:hAnsi="Times New Roman" w:eastAsia="宋体" w:cs="Times New Roman"/>
                      <w:sz w:val="21"/>
                      <w:szCs w:val="21"/>
                      <w:lang w:val="en-US" w:eastAsia="zh-CN"/>
                    </w:rPr>
                    <w:t>幼儿园</w:t>
                  </w:r>
                </w:p>
              </w:tc>
              <w:tc>
                <w:tcPr>
                  <w:tcW w:w="879"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127.05020071</w:t>
                  </w:r>
                </w:p>
              </w:tc>
              <w:tc>
                <w:tcPr>
                  <w:tcW w:w="816"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45.23248244</w:t>
                  </w:r>
                </w:p>
              </w:tc>
              <w:tc>
                <w:tcPr>
                  <w:tcW w:w="307"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幼儿园</w:t>
                  </w:r>
                </w:p>
              </w:tc>
              <w:tc>
                <w:tcPr>
                  <w:tcW w:w="465"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师生</w:t>
                  </w:r>
                </w:p>
              </w:tc>
              <w:tc>
                <w:tcPr>
                  <w:tcW w:w="876" w:type="pct"/>
                  <w:vMerge w:val="continue"/>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p>
              </w:tc>
              <w:tc>
                <w:tcPr>
                  <w:tcW w:w="472"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S</w:t>
                  </w:r>
                  <w:r>
                    <w:rPr>
                      <w:rFonts w:hint="eastAsia" w:cs="Times New Roman"/>
                      <w:sz w:val="21"/>
                      <w:szCs w:val="21"/>
                      <w:lang w:val="en-US" w:eastAsia="zh-CN"/>
                    </w:rPr>
                    <w:t>W</w:t>
                  </w:r>
                </w:p>
              </w:tc>
              <w:tc>
                <w:tcPr>
                  <w:tcW w:w="530" w:type="pct"/>
                  <w:tcBorders>
                    <w:tl2br w:val="nil"/>
                    <w:tr2bl w:val="nil"/>
                  </w:tcBorders>
                  <w:noWrap w:val="0"/>
                  <w:vAlign w:val="center"/>
                </w:tcPr>
                <w:p>
                  <w:pPr>
                    <w:adjustRightInd/>
                    <w:snapToGrid/>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260</w:t>
                  </w:r>
                </w:p>
              </w:tc>
            </w:tr>
          </w:tbl>
          <w:p>
            <w:pPr>
              <w:pStyle w:val="45"/>
              <w:adjustRightInd w:val="0"/>
              <w:snapToGrid w:val="0"/>
              <w:spacing w:line="360" w:lineRule="auto"/>
              <w:ind w:firstLine="482"/>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2、声环境保护目标</w:t>
            </w:r>
          </w:p>
          <w:p>
            <w:pPr>
              <w:pStyle w:val="45"/>
              <w:adjustRightInd w:val="0"/>
              <w:snapToGrid w:val="0"/>
              <w:spacing w:line="360" w:lineRule="auto"/>
              <w:rPr>
                <w:rFonts w:hint="default" w:ascii="Times New Roman" w:hAnsi="Times New Roman" w:eastAsia="宋体" w:cs="Times New Roman"/>
                <w:b w:val="0"/>
                <w:bCs w:val="0"/>
                <w:snapToGrid w:val="0"/>
                <w:color w:val="auto"/>
                <w:kern w:val="0"/>
              </w:rPr>
            </w:pPr>
            <w:r>
              <w:rPr>
                <w:rFonts w:hint="default" w:ascii="Times New Roman" w:hAnsi="Times New Roman" w:eastAsia="宋体" w:cs="Times New Roman"/>
                <w:b w:val="0"/>
                <w:bCs w:val="0"/>
                <w:snapToGrid w:val="0"/>
                <w:color w:val="auto"/>
                <w:kern w:val="0"/>
              </w:rPr>
              <w:t>本项目厂界外50m范围内</w:t>
            </w:r>
            <w:r>
              <w:rPr>
                <w:rFonts w:hint="default" w:ascii="Times New Roman" w:hAnsi="Times New Roman" w:eastAsia="宋体" w:cs="Times New Roman"/>
                <w:b w:val="0"/>
                <w:bCs w:val="0"/>
                <w:snapToGrid w:val="0"/>
                <w:color w:val="auto"/>
                <w:kern w:val="0"/>
                <w:lang w:val="en-US" w:eastAsia="zh-CN"/>
              </w:rPr>
              <w:t>存在民意乡卫生院</w:t>
            </w:r>
            <w:r>
              <w:rPr>
                <w:rFonts w:hint="default" w:ascii="Times New Roman" w:hAnsi="Times New Roman" w:eastAsia="宋体" w:cs="Times New Roman"/>
                <w:b w:val="0"/>
                <w:bCs w:val="0"/>
                <w:snapToGrid w:val="0"/>
                <w:color w:val="auto"/>
                <w:kern w:val="0"/>
              </w:rPr>
              <w:t>声环境保护目标。</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表3-7  声环境保护目标</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95"/>
              <w:gridCol w:w="1870"/>
              <w:gridCol w:w="890"/>
              <w:gridCol w:w="1360"/>
              <w:gridCol w:w="964"/>
              <w:gridCol w:w="2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exact"/>
                <w:jc w:val="center"/>
              </w:trPr>
              <w:tc>
                <w:tcPr>
                  <w:tcW w:w="42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154"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敏感目标</w:t>
                  </w:r>
                </w:p>
              </w:tc>
              <w:tc>
                <w:tcPr>
                  <w:tcW w:w="5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相对厂址方位</w:t>
                  </w:r>
                </w:p>
              </w:tc>
              <w:tc>
                <w:tcPr>
                  <w:tcW w:w="8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相对厂</w:t>
                  </w:r>
                  <w:r>
                    <w:rPr>
                      <w:rFonts w:hint="default" w:ascii="Times New Roman" w:hAnsi="Times New Roman" w:eastAsia="宋体" w:cs="Times New Roman"/>
                      <w:color w:val="auto"/>
                      <w:sz w:val="21"/>
                      <w:szCs w:val="21"/>
                      <w:highlight w:val="none"/>
                      <w:lang w:eastAsia="zh-CN"/>
                    </w:rPr>
                    <w:t>界最近</w:t>
                  </w:r>
                  <w:r>
                    <w:rPr>
                      <w:rFonts w:hint="default" w:ascii="Times New Roman" w:hAnsi="Times New Roman" w:eastAsia="宋体" w:cs="Times New Roman"/>
                      <w:color w:val="auto"/>
                      <w:sz w:val="21"/>
                      <w:szCs w:val="21"/>
                      <w:highlight w:val="none"/>
                    </w:rPr>
                    <w:t>距离/m</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人数</w:t>
                  </w:r>
                  <w:r>
                    <w:rPr>
                      <w:rFonts w:hint="eastAsia" w:cs="Times New Roman"/>
                      <w:color w:val="auto"/>
                      <w:sz w:val="21"/>
                      <w:szCs w:val="21"/>
                      <w:highlight w:val="none"/>
                      <w:lang w:val="en-US" w:eastAsia="zh-CN"/>
                    </w:rPr>
                    <w:t>/户数</w:t>
                  </w:r>
                </w:p>
              </w:tc>
              <w:tc>
                <w:tcPr>
                  <w:tcW w:w="143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42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154" w:type="pct"/>
                  <w:tcBorders>
                    <w:tl2br w:val="nil"/>
                    <w:tr2bl w:val="nil"/>
                  </w:tcBorders>
                  <w:noWrap w:val="0"/>
                  <w:vAlign w:val="center"/>
                </w:tcPr>
                <w:p>
                  <w:pPr>
                    <w:shd w:val="clear"/>
                    <w:spacing w:beforeLines="0" w:afterLines="0" w:line="240" w:lineRule="auto"/>
                    <w:ind w:left="-105" w:leftChars="-50" w:right="-105" w:rightChars="-50" w:firstLine="0" w:firstLineChars="0"/>
                    <w:jc w:val="center"/>
                    <w:rPr>
                      <w:rFonts w:hint="default" w:ascii="Times New Roman" w:hAnsi="Times New Roman" w:cs="Times New Roman"/>
                      <w:color w:val="auto"/>
                      <w:sz w:val="21"/>
                      <w:szCs w:val="21"/>
                    </w:rPr>
                  </w:pPr>
                  <w:r>
                    <w:rPr>
                      <w:rFonts w:hint="eastAsia" w:cs="Times New Roman"/>
                      <w:b w:val="0"/>
                      <w:bCs w:val="0"/>
                      <w:color w:val="auto"/>
                      <w:sz w:val="21"/>
                      <w:szCs w:val="21"/>
                      <w:lang w:val="en-US" w:eastAsia="zh-CN"/>
                    </w:rPr>
                    <w:t>八家子村（厂区东北侧）</w:t>
                  </w:r>
                </w:p>
              </w:tc>
              <w:tc>
                <w:tcPr>
                  <w:tcW w:w="549"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color w:val="auto"/>
                      <w:sz w:val="21"/>
                      <w:szCs w:val="21"/>
                      <w:lang w:val="en-US"/>
                    </w:rPr>
                  </w:pPr>
                  <w:r>
                    <w:rPr>
                      <w:rFonts w:hint="eastAsia" w:ascii="Times New Roman" w:hAnsi="Times New Roman" w:cs="Times New Roman"/>
                      <w:sz w:val="21"/>
                      <w:szCs w:val="21"/>
                      <w:lang w:val="en-US" w:eastAsia="zh-CN"/>
                    </w:rPr>
                    <w:t>NW</w:t>
                  </w:r>
                </w:p>
              </w:tc>
              <w:tc>
                <w:tcPr>
                  <w:tcW w:w="839"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kern w:val="2"/>
                      <w:sz w:val="21"/>
                      <w:szCs w:val="21"/>
                      <w:highlight w:val="none"/>
                      <w:lang w:val="en-US" w:eastAsia="zh-CN" w:bidi="ar-SA"/>
                    </w:rPr>
                    <w:t>5-50</w:t>
                  </w:r>
                </w:p>
              </w:tc>
              <w:tc>
                <w:tcPr>
                  <w:tcW w:w="595" w:type="pct"/>
                  <w:tcBorders>
                    <w:tl2br w:val="nil"/>
                    <w:tr2bl w:val="nil"/>
                  </w:tcBorders>
                  <w:noWrap w:val="0"/>
                  <w:vAlign w:val="center"/>
                </w:tcPr>
                <w:p>
                  <w:pPr>
                    <w:jc w:val="center"/>
                    <w:rPr>
                      <w:rFonts w:hint="default" w:ascii="Times New Roman" w:hAnsi="Times New Roman" w:eastAsia="宋体" w:cs="Times New Roman"/>
                      <w:color w:val="auto"/>
                      <w:position w:val="6"/>
                      <w:sz w:val="21"/>
                      <w:szCs w:val="21"/>
                      <w:highlight w:val="none"/>
                      <w:lang w:val="en-US" w:eastAsia="zh-CN"/>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人</w:t>
                  </w:r>
                  <w:r>
                    <w:rPr>
                      <w:rFonts w:hint="eastAsia" w:cs="Times New Roman"/>
                      <w:color w:val="auto"/>
                      <w:sz w:val="21"/>
                      <w:szCs w:val="21"/>
                      <w:highlight w:val="none"/>
                      <w:lang w:val="en-US" w:eastAsia="zh-CN"/>
                    </w:rPr>
                    <w:t>/6户</w:t>
                  </w:r>
                </w:p>
              </w:tc>
              <w:tc>
                <w:tcPr>
                  <w:tcW w:w="143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《声环境质量标准》（GB3096-2008）2类标准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42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声环境</w:t>
                  </w:r>
                </w:p>
              </w:tc>
              <w:tc>
                <w:tcPr>
                  <w:tcW w:w="1154" w:type="pct"/>
                  <w:tcBorders>
                    <w:tl2br w:val="nil"/>
                    <w:tr2bl w:val="nil"/>
                  </w:tcBorders>
                  <w:noWrap w:val="0"/>
                  <w:vAlign w:val="center"/>
                </w:tcPr>
                <w:p>
                  <w:pPr>
                    <w:shd w:val="clear"/>
                    <w:spacing w:beforeLines="0" w:afterLines="0" w:line="240" w:lineRule="auto"/>
                    <w:ind w:left="-105" w:leftChars="-50" w:right="-105" w:rightChars="-5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八家子村（厂区西南侧）</w:t>
                  </w:r>
                </w:p>
              </w:tc>
              <w:tc>
                <w:tcPr>
                  <w:tcW w:w="549"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S</w:t>
                  </w:r>
                  <w:r>
                    <w:rPr>
                      <w:rFonts w:hint="eastAsia" w:ascii="Times New Roman" w:hAnsi="Times New Roman" w:cs="Times New Roman"/>
                      <w:sz w:val="21"/>
                      <w:szCs w:val="21"/>
                      <w:lang w:val="en-US" w:eastAsia="zh-CN"/>
                    </w:rPr>
                    <w:t>W</w:t>
                  </w:r>
                </w:p>
              </w:tc>
              <w:tc>
                <w:tcPr>
                  <w:tcW w:w="839" w:type="pct"/>
                  <w:tcBorders>
                    <w:tl2br w:val="nil"/>
                    <w:tr2bl w:val="nil"/>
                  </w:tcBorders>
                  <w:noWrap w:val="0"/>
                  <w:vAlign w:val="center"/>
                </w:tcPr>
                <w:p>
                  <w:pPr>
                    <w:pStyle w:val="51"/>
                    <w:shd w:val="clear"/>
                    <w:spacing w:beforeLines="0" w:afterLines="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bidi="ar-SA"/>
                    </w:rPr>
                    <w:t>6-50</w:t>
                  </w: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position w:val="6"/>
                      <w:sz w:val="21"/>
                      <w:szCs w:val="21"/>
                      <w:highlight w:val="none"/>
                      <w:lang w:val="en-US" w:eastAsia="zh-CN" w:bidi="ar-SA"/>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人</w:t>
                  </w:r>
                  <w:r>
                    <w:rPr>
                      <w:rFonts w:hint="eastAsia" w:cs="Times New Roman"/>
                      <w:color w:val="auto"/>
                      <w:sz w:val="21"/>
                      <w:szCs w:val="21"/>
                      <w:highlight w:val="none"/>
                      <w:lang w:val="en-US" w:eastAsia="zh-CN"/>
                    </w:rPr>
                    <w:t>/8户</w:t>
                  </w:r>
                </w:p>
              </w:tc>
              <w:tc>
                <w:tcPr>
                  <w:tcW w:w="143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《声环境质量标准》（GB3096-2008）2类标准</w:t>
                  </w:r>
                </w:p>
              </w:tc>
            </w:tr>
          </w:tbl>
          <w:p>
            <w:pPr>
              <w:pStyle w:val="45"/>
              <w:adjustRightInd w:val="0"/>
              <w:snapToGrid w:val="0"/>
              <w:spacing w:line="360" w:lineRule="auto"/>
              <w:ind w:firstLine="482"/>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3、地下水环境保护目标</w:t>
            </w:r>
          </w:p>
          <w:p>
            <w:pPr>
              <w:pStyle w:val="45"/>
              <w:adjustRightInd w:val="0"/>
              <w:snapToGrid w:val="0"/>
              <w:spacing w:line="360" w:lineRule="auto"/>
              <w:rPr>
                <w:rFonts w:hint="default" w:ascii="Times New Roman" w:hAnsi="Times New Roman" w:eastAsia="宋体" w:cs="Times New Roman"/>
                <w:b w:val="0"/>
                <w:bCs w:val="0"/>
                <w:snapToGrid w:val="0"/>
                <w:color w:val="auto"/>
                <w:kern w:val="0"/>
              </w:rPr>
            </w:pPr>
            <w:r>
              <w:rPr>
                <w:rFonts w:hint="default" w:ascii="Times New Roman" w:hAnsi="Times New Roman" w:eastAsia="宋体" w:cs="Times New Roman"/>
                <w:b w:val="0"/>
                <w:bCs w:val="0"/>
                <w:snapToGrid w:val="0"/>
                <w:color w:val="auto"/>
                <w:kern w:val="0"/>
              </w:rPr>
              <w:t>本项目厂界外500m范围内无地下水集中式饮用水水源和热水、矿泉水、温泉等特殊地下水资源。</w:t>
            </w:r>
          </w:p>
          <w:p>
            <w:pPr>
              <w:pStyle w:val="45"/>
              <w:adjustRightInd w:val="0"/>
              <w:snapToGrid w:val="0"/>
              <w:spacing w:line="360" w:lineRule="auto"/>
              <w:ind w:firstLine="482"/>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4、生态环境保护目标</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napToGrid w:val="0"/>
                <w:color w:val="auto"/>
                <w:kern w:val="0"/>
                <w:sz w:val="24"/>
                <w:szCs w:val="24"/>
              </w:rPr>
            </w:pPr>
            <w:r>
              <w:rPr>
                <w:rFonts w:hint="default" w:ascii="Times New Roman" w:hAnsi="Times New Roman" w:eastAsia="宋体" w:cs="Times New Roman"/>
                <w:b w:val="0"/>
                <w:bCs w:val="0"/>
                <w:snapToGrid w:val="0"/>
                <w:color w:val="auto"/>
                <w:kern w:val="0"/>
                <w:sz w:val="24"/>
                <w:szCs w:val="24"/>
              </w:rPr>
              <w:t>本项目占地范围内无特殊生态敏感区及重要生态敏感区等生态环境保护目标，项目所在地无国家级、省、市级自然保护区、风景名胜区、文物保护对象。</w:t>
            </w:r>
            <w:bookmarkEnd w:id="17"/>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宋体" w:cs="Times New Roman"/>
                <w:color w:val="auto"/>
                <w:kern w:val="2"/>
                <w:sz w:val="21"/>
                <w:szCs w:val="24"/>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污染物排放控制标准</w:t>
            </w:r>
          </w:p>
        </w:tc>
        <w:tc>
          <w:tcPr>
            <w:tcW w:w="832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val="0"/>
                <w:bCs/>
                <w:color w:val="auto"/>
                <w:kern w:val="0"/>
                <w:sz w:val="24"/>
                <w:szCs w:val="24"/>
              </w:rPr>
            </w:pPr>
            <w:r>
              <w:rPr>
                <w:rFonts w:hint="default" w:ascii="Times New Roman" w:hAnsi="Times New Roman" w:cs="Times New Roman"/>
                <w:b w:val="0"/>
                <w:bCs/>
                <w:color w:val="auto"/>
                <w:kern w:val="0"/>
                <w:sz w:val="24"/>
                <w:szCs w:val="24"/>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1</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rPr>
              <w:t>施工期扬尘执行《大气污染物综合排放标准》（GB16297-1996）表2</w:t>
            </w:r>
            <w:r>
              <w:rPr>
                <w:rFonts w:hint="default" w:ascii="Times New Roman" w:hAnsi="Times New Roman" w:cs="Times New Roman"/>
                <w:b w:val="0"/>
                <w:bCs/>
                <w:color w:val="auto"/>
                <w:sz w:val="24"/>
                <w:szCs w:val="24"/>
                <w:highlight w:val="none"/>
                <w:lang w:val="en-US" w:eastAsia="zh-CN"/>
              </w:rPr>
              <w:t>新污染源大气污染物排放限值</w:t>
            </w:r>
            <w:r>
              <w:rPr>
                <w:rFonts w:hint="default" w:ascii="Times New Roman" w:hAnsi="Times New Roman" w:cs="Times New Roman"/>
                <w:b w:val="0"/>
                <w:bCs/>
                <w:color w:val="auto"/>
                <w:sz w:val="24"/>
                <w:szCs w:val="24"/>
                <w:highlight w:val="none"/>
              </w:rPr>
              <w:t>中无组织排放监控浓度限值</w:t>
            </w:r>
            <w:r>
              <w:rPr>
                <w:rFonts w:hint="default" w:ascii="Times New Roman" w:hAnsi="Times New Roman" w:cs="Times New Roman"/>
                <w:b w:val="0"/>
                <w:bCs/>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（2）运营期</w:t>
            </w:r>
          </w:p>
          <w:p>
            <w:pPr>
              <w:spacing w:line="360" w:lineRule="auto"/>
              <w:ind w:firstLine="480" w:firstLineChars="200"/>
              <w:rPr>
                <w:rFonts w:hint="default" w:ascii="Times New Roman" w:hAnsi="Times New Roman" w:cs="Times New Roman"/>
                <w:b w:val="0"/>
                <w:bCs/>
                <w:sz w:val="24"/>
                <w:szCs w:val="24"/>
              </w:rPr>
            </w:pPr>
            <w:r>
              <w:rPr>
                <w:rFonts w:hint="default" w:ascii="Times New Roman" w:hAnsi="Times New Roman" w:eastAsia="宋体" w:cs="Times New Roman"/>
                <w:b w:val="0"/>
                <w:bCs/>
                <w:color w:val="auto"/>
                <w:kern w:val="0"/>
                <w:sz w:val="24"/>
                <w:szCs w:val="24"/>
              </w:rPr>
              <w:t>本项目运营期锅炉烟气执行《锅炉大气污染物排放标准》（GB13271-2014）表3大气污染物特别排放限值中燃煤锅炉标准</w:t>
            </w:r>
            <w:r>
              <w:rPr>
                <w:rFonts w:hint="default" w:ascii="Times New Roman" w:hAnsi="Times New Roman" w:eastAsia="宋体" w:cs="Times New Roman"/>
                <w:b w:val="0"/>
                <w:bCs/>
                <w:color w:val="auto"/>
                <w:kern w:val="0"/>
                <w:sz w:val="24"/>
                <w:szCs w:val="24"/>
                <w:lang w:eastAsia="zh-CN"/>
              </w:rPr>
              <w:t>；厂界颗粒物执行</w:t>
            </w:r>
            <w:r>
              <w:rPr>
                <w:rFonts w:hint="default" w:ascii="Times New Roman" w:hAnsi="Times New Roman" w:eastAsia="宋体" w:cs="Times New Roman"/>
                <w:b w:val="0"/>
                <w:bCs/>
                <w:color w:val="auto"/>
                <w:sz w:val="24"/>
                <w:szCs w:val="24"/>
                <w:lang w:eastAsia="zh-CN"/>
              </w:rPr>
              <w:t>《大气污染物综合排放标准》（GB16297-1996）</w:t>
            </w:r>
            <w:r>
              <w:rPr>
                <w:rFonts w:hint="default" w:ascii="Times New Roman" w:hAnsi="Times New Roman" w:cs="Times New Roman"/>
                <w:b w:val="0"/>
                <w:bCs/>
                <w:color w:val="auto"/>
                <w:sz w:val="24"/>
                <w:szCs w:val="24"/>
                <w:highlight w:val="none"/>
              </w:rPr>
              <w:t>表2</w:t>
            </w:r>
            <w:r>
              <w:rPr>
                <w:rFonts w:hint="default" w:ascii="Times New Roman" w:hAnsi="Times New Roman" w:cs="Times New Roman"/>
                <w:b w:val="0"/>
                <w:bCs/>
                <w:color w:val="auto"/>
                <w:sz w:val="24"/>
                <w:szCs w:val="24"/>
                <w:highlight w:val="none"/>
                <w:lang w:val="en-US" w:eastAsia="zh-CN"/>
              </w:rPr>
              <w:t>新污染源大气污染物排放限值</w:t>
            </w:r>
            <w:r>
              <w:rPr>
                <w:rFonts w:hint="default" w:ascii="Times New Roman" w:hAnsi="Times New Roman" w:cs="Times New Roman"/>
                <w:b w:val="0"/>
                <w:bCs/>
                <w:color w:val="auto"/>
                <w:sz w:val="24"/>
                <w:szCs w:val="24"/>
                <w:highlight w:val="none"/>
              </w:rPr>
              <w:t>中无组织排放监控浓度限值</w:t>
            </w:r>
            <w:r>
              <w:rPr>
                <w:rFonts w:hint="default" w:ascii="Times New Roman" w:hAnsi="Times New Roman" w:eastAsia="宋体" w:cs="Times New Roman"/>
                <w:b w:val="0"/>
                <w:bCs/>
                <w:color w:val="auto"/>
                <w:sz w:val="24"/>
                <w:szCs w:val="24"/>
                <w:lang w:eastAsia="zh-CN"/>
              </w:rPr>
              <w:t>；</w:t>
            </w:r>
            <w:r>
              <w:rPr>
                <w:rFonts w:hint="default" w:ascii="Times New Roman" w:hAnsi="Times New Roman" w:cs="Times New Roman"/>
                <w:b w:val="0"/>
                <w:bCs/>
                <w:sz w:val="24"/>
                <w:szCs w:val="24"/>
              </w:rPr>
              <w:t>厂界恶臭执行《恶臭污染物排放标准》（GB14554-93）表1标准</w:t>
            </w:r>
            <w:r>
              <w:rPr>
                <w:rFonts w:hint="default" w:ascii="Times New Roman" w:hAnsi="Times New Roman" w:eastAsia="宋体" w:cs="Times New Roman"/>
                <w:b w:val="0"/>
                <w:bCs/>
                <w:color w:val="auto"/>
                <w:kern w:val="0"/>
                <w:sz w:val="24"/>
                <w:szCs w:val="24"/>
              </w:rPr>
              <w:t>，见表3-</w:t>
            </w:r>
            <w:r>
              <w:rPr>
                <w:rFonts w:hint="eastAsia" w:ascii="Times New Roman" w:hAnsi="Times New Roman" w:cs="Times New Roman"/>
                <w:b w:val="0"/>
                <w:bCs/>
                <w:color w:val="auto"/>
                <w:kern w:val="0"/>
                <w:sz w:val="24"/>
                <w:szCs w:val="24"/>
                <w:lang w:val="en-US" w:eastAsia="zh-CN"/>
              </w:rPr>
              <w:t>8</w:t>
            </w:r>
            <w:r>
              <w:rPr>
                <w:rFonts w:hint="default" w:ascii="Times New Roman" w:hAnsi="Times New Roman" w:eastAsia="宋体" w:cs="Times New Roman"/>
                <w:b w:val="0"/>
                <w:bCs/>
                <w:color w:val="auto"/>
                <w:kern w:val="0"/>
                <w:sz w:val="24"/>
                <w:szCs w:val="24"/>
                <w:lang w:eastAsia="zh-CN"/>
              </w:rPr>
              <w:t>、</w:t>
            </w:r>
            <w:r>
              <w:rPr>
                <w:rFonts w:hint="default" w:ascii="Times New Roman" w:hAnsi="Times New Roman" w:eastAsia="宋体" w:cs="Times New Roman"/>
                <w:b w:val="0"/>
                <w:bCs/>
                <w:color w:val="auto"/>
                <w:kern w:val="0"/>
                <w:sz w:val="24"/>
                <w:szCs w:val="24"/>
                <w:lang w:val="en-US" w:eastAsia="zh-CN"/>
              </w:rPr>
              <w:t>3-</w:t>
            </w:r>
            <w:r>
              <w:rPr>
                <w:rFonts w:hint="eastAsia" w:ascii="Times New Roman" w:hAnsi="Times New Roman" w:cs="Times New Roman"/>
                <w:b w:val="0"/>
                <w:bCs/>
                <w:color w:val="auto"/>
                <w:kern w:val="0"/>
                <w:sz w:val="24"/>
                <w:szCs w:val="24"/>
                <w:lang w:val="en-US" w:eastAsia="zh-CN"/>
              </w:rPr>
              <w:t>9</w:t>
            </w:r>
            <w:r>
              <w:rPr>
                <w:rFonts w:hint="default" w:ascii="Times New Roman" w:hAnsi="Times New Roman" w:eastAsia="宋体" w:cs="Times New Roman"/>
                <w:b w:val="0"/>
                <w:bCs/>
                <w:color w:val="auto"/>
                <w:kern w:val="0"/>
                <w:sz w:val="24"/>
                <w:szCs w:val="24"/>
                <w:lang w:val="en-US" w:eastAsia="zh-CN"/>
              </w:rPr>
              <w:t>、3-</w:t>
            </w:r>
            <w:r>
              <w:rPr>
                <w:rFonts w:hint="eastAsia" w:ascii="Times New Roman" w:hAnsi="Times New Roman" w:cs="Times New Roman"/>
                <w:b w:val="0"/>
                <w:bCs/>
                <w:color w:val="auto"/>
                <w:kern w:val="0"/>
                <w:sz w:val="24"/>
                <w:szCs w:val="24"/>
                <w:lang w:val="en-US" w:eastAsia="zh-CN"/>
              </w:rPr>
              <w:t>10</w:t>
            </w:r>
            <w:r>
              <w:rPr>
                <w:rFonts w:hint="default" w:ascii="Times New Roman" w:hAnsi="Times New Roman" w:cs="Times New Roman"/>
                <w:b w:val="0"/>
                <w:bCs/>
                <w:sz w:val="24"/>
                <w:szCs w:val="24"/>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eastAsia" w:ascii="Times New Roman" w:hAnsi="Times New Roman" w:cs="Times New Roman" w:eastAsiaTheme="minorEastAsia"/>
                <w:b/>
                <w:bCs/>
                <w:color w:val="auto"/>
                <w:sz w:val="21"/>
                <w:szCs w:val="24"/>
                <w:lang w:val="en-US" w:eastAsia="zh-CN"/>
              </w:rPr>
              <w:t xml:space="preserve">8 </w:t>
            </w:r>
            <w:r>
              <w:rPr>
                <w:rFonts w:hint="default" w:ascii="Times New Roman" w:hAnsi="Times New Roman" w:cs="Times New Roman" w:eastAsiaTheme="minorEastAsia"/>
                <w:b/>
                <w:bCs/>
                <w:color w:val="auto"/>
                <w:sz w:val="21"/>
                <w:szCs w:val="24"/>
              </w:rPr>
              <w:t xml:space="preserve"> 锅炉大气污染物排放标准（GB13271-2014）</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179"/>
              <w:gridCol w:w="2825"/>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68"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燃煤锅炉</w:t>
                  </w:r>
                </w:p>
              </w:tc>
              <w:tc>
                <w:tcPr>
                  <w:tcW w:w="134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控制项目</w:t>
                  </w:r>
                </w:p>
              </w:tc>
              <w:tc>
                <w:tcPr>
                  <w:tcW w:w="174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大气污染物排放浓度限值</w:t>
                  </w:r>
                </w:p>
              </w:tc>
              <w:tc>
                <w:tcPr>
                  <w:tcW w:w="134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6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c>
                <w:tcPr>
                  <w:tcW w:w="134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74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30mg/m</w:t>
                  </w:r>
                  <w:r>
                    <w:rPr>
                      <w:rFonts w:hint="default" w:ascii="Times New Roman" w:hAnsi="Times New Roman" w:cs="Times New Roman"/>
                      <w:sz w:val="21"/>
                      <w:szCs w:val="21"/>
                      <w:vertAlign w:val="superscript"/>
                    </w:rPr>
                    <w:t>3</w:t>
                  </w:r>
                </w:p>
              </w:tc>
              <w:tc>
                <w:tcPr>
                  <w:tcW w:w="1341"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《锅炉大气污染物排放标准》（GB13271-2014）表3大气污染物特别排放限值中燃煤锅炉标准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6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c>
                <w:tcPr>
                  <w:tcW w:w="134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二氧化硫</w:t>
                  </w:r>
                </w:p>
              </w:tc>
              <w:tc>
                <w:tcPr>
                  <w:tcW w:w="174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200mg/m</w:t>
                  </w:r>
                  <w:r>
                    <w:rPr>
                      <w:rFonts w:hint="default" w:ascii="Times New Roman" w:hAnsi="Times New Roman" w:cs="Times New Roman"/>
                      <w:sz w:val="21"/>
                      <w:szCs w:val="21"/>
                      <w:vertAlign w:val="superscript"/>
                    </w:rPr>
                    <w:t>3</w:t>
                  </w:r>
                </w:p>
              </w:tc>
              <w:tc>
                <w:tcPr>
                  <w:tcW w:w="134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6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c>
                <w:tcPr>
                  <w:tcW w:w="134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氮氧化物</w:t>
                  </w:r>
                </w:p>
              </w:tc>
              <w:tc>
                <w:tcPr>
                  <w:tcW w:w="174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200mg/m</w:t>
                  </w:r>
                  <w:r>
                    <w:rPr>
                      <w:rFonts w:hint="default" w:ascii="Times New Roman" w:hAnsi="Times New Roman" w:cs="Times New Roman"/>
                      <w:sz w:val="21"/>
                      <w:szCs w:val="21"/>
                      <w:vertAlign w:val="superscript"/>
                    </w:rPr>
                    <w:t>3</w:t>
                  </w:r>
                </w:p>
              </w:tc>
              <w:tc>
                <w:tcPr>
                  <w:tcW w:w="1341" w:type="pct"/>
                  <w:vMerge w:val="continue"/>
                  <w:tcBorders>
                    <w:tl2br w:val="nil"/>
                    <w:tr2bl w:val="nil"/>
                  </w:tcBorders>
                  <w:noWrap w:val="0"/>
                  <w:vAlign w:val="center"/>
                </w:tcPr>
                <w:p>
                  <w:pPr>
                    <w:spacing w:line="240" w:lineRule="auto"/>
                    <w:ind w:firstLine="0" w:firstLineChars="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exact"/>
                <w:jc w:val="center"/>
              </w:trPr>
              <w:tc>
                <w:tcPr>
                  <w:tcW w:w="56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c>
                <w:tcPr>
                  <w:tcW w:w="1345" w:type="pct"/>
                  <w:tcBorders>
                    <w:tl2br w:val="nil"/>
                    <w:tr2bl w:val="nil"/>
                  </w:tcBorders>
                  <w:noWrap w:val="0"/>
                  <w:vAlign w:val="center"/>
                </w:tcPr>
                <w:p>
                  <w:pPr>
                    <w:pStyle w:val="27"/>
                    <w:widowControl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汞及其化合物</w:t>
                  </w:r>
                </w:p>
              </w:tc>
              <w:tc>
                <w:tcPr>
                  <w:tcW w:w="1744" w:type="pct"/>
                  <w:tcBorders>
                    <w:tl2br w:val="nil"/>
                    <w:tr2bl w:val="nil"/>
                  </w:tcBorders>
                  <w:noWrap w:val="0"/>
                  <w:vAlign w:val="center"/>
                </w:tcPr>
                <w:p>
                  <w:pPr>
                    <w:pStyle w:val="27"/>
                    <w:widowControl w:val="0"/>
                    <w:spacing w:before="0" w:beforeAutospacing="0" w:after="0" w:afterAutospacing="0"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0.05mg/m</w:t>
                  </w:r>
                  <w:r>
                    <w:rPr>
                      <w:rFonts w:hint="default" w:ascii="Times New Roman" w:hAnsi="Times New Roman" w:cs="Times New Roman"/>
                      <w:sz w:val="21"/>
                      <w:szCs w:val="21"/>
                      <w:vertAlign w:val="superscript"/>
                    </w:rPr>
                    <w:t>3</w:t>
                  </w:r>
                </w:p>
              </w:tc>
              <w:tc>
                <w:tcPr>
                  <w:tcW w:w="1341" w:type="pct"/>
                  <w:vMerge w:val="continue"/>
                  <w:tcBorders>
                    <w:tl2br w:val="nil"/>
                    <w:tr2bl w:val="nil"/>
                  </w:tcBorders>
                  <w:noWrap w:val="0"/>
                  <w:vAlign w:val="center"/>
                </w:tcPr>
                <w:p>
                  <w:pPr>
                    <w:spacing w:line="240" w:lineRule="auto"/>
                    <w:ind w:firstLine="0" w:firstLineChars="0"/>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jc w:val="center"/>
              </w:trPr>
              <w:tc>
                <w:tcPr>
                  <w:tcW w:w="56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c>
                <w:tcPr>
                  <w:tcW w:w="1345"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烟气黑度（林格曼黑度，级）</w:t>
                  </w:r>
                </w:p>
              </w:tc>
              <w:tc>
                <w:tcPr>
                  <w:tcW w:w="1744"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41"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sz w:val="21"/>
                      <w:szCs w:val="21"/>
                    </w:rPr>
                  </w:pPr>
                </w:p>
              </w:tc>
            </w:tr>
          </w:tbl>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default" w:ascii="Times New Roman" w:hAnsi="Times New Roman" w:cs="Times New Roman" w:eastAsiaTheme="minorEastAsia"/>
                <w:b/>
                <w:bCs/>
                <w:color w:val="auto"/>
                <w:sz w:val="21"/>
                <w:szCs w:val="24"/>
                <w:lang w:val="en-US" w:eastAsia="zh-CN"/>
              </w:rPr>
              <w:t xml:space="preserve">9  </w:t>
            </w:r>
            <w:r>
              <w:rPr>
                <w:rFonts w:hint="default" w:ascii="Times New Roman" w:hAnsi="Times New Roman" w:cs="Times New Roman" w:eastAsiaTheme="minorEastAsia"/>
                <w:b/>
                <w:bCs/>
                <w:color w:val="auto"/>
                <w:sz w:val="21"/>
                <w:szCs w:val="24"/>
              </w:rPr>
              <w:t>大气污染物综合排放标准</w:t>
            </w:r>
            <w:r>
              <w:rPr>
                <w:rFonts w:hint="default" w:ascii="Times New Roman" w:hAnsi="Times New Roman" w:cs="Times New Roman" w:eastAsiaTheme="minorEastAsia"/>
                <w:b/>
                <w:bCs/>
                <w:color w:val="auto"/>
                <w:sz w:val="21"/>
                <w:szCs w:val="24"/>
                <w:lang w:eastAsia="zh-CN"/>
              </w:rPr>
              <w:t>（GB16297-1996）</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6" w:type="dxa"/>
                <w:bottom w:w="0" w:type="dxa"/>
                <w:right w:w="56" w:type="dxa"/>
              </w:tblCellMar>
            </w:tblPr>
            <w:tblGrid>
              <w:gridCol w:w="934"/>
              <w:gridCol w:w="1210"/>
              <w:gridCol w:w="3044"/>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457" w:hRule="atLeast"/>
                <w:jc w:val="center"/>
              </w:trPr>
              <w:tc>
                <w:tcPr>
                  <w:tcW w:w="577"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污染物</w:t>
                  </w:r>
                </w:p>
              </w:tc>
              <w:tc>
                <w:tcPr>
                  <w:tcW w:w="747"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排放源</w:t>
                  </w:r>
                </w:p>
              </w:tc>
              <w:tc>
                <w:tcPr>
                  <w:tcW w:w="1879"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无组织排放监控浓度限值</w:t>
                  </w:r>
                </w:p>
              </w:tc>
              <w:tc>
                <w:tcPr>
                  <w:tcW w:w="1795"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trHeight w:val="664" w:hRule="atLeast"/>
                <w:jc w:val="center"/>
              </w:trPr>
              <w:tc>
                <w:tcPr>
                  <w:tcW w:w="577"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颗粒物</w:t>
                  </w:r>
                </w:p>
              </w:tc>
              <w:tc>
                <w:tcPr>
                  <w:tcW w:w="747"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无组织</w:t>
                  </w:r>
                </w:p>
              </w:tc>
              <w:tc>
                <w:tcPr>
                  <w:tcW w:w="1879"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周界外浓度最高点：</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eastAsia="zh-CN"/>
                    </w:rPr>
                    <w:t>mg/m</w:t>
                  </w:r>
                  <w:r>
                    <w:rPr>
                      <w:rFonts w:hint="default" w:ascii="Times New Roman" w:hAnsi="Times New Roman" w:eastAsia="宋体" w:cs="Times New Roman"/>
                      <w:color w:val="auto"/>
                      <w:sz w:val="21"/>
                      <w:szCs w:val="21"/>
                      <w:vertAlign w:val="superscript"/>
                      <w:lang w:eastAsia="zh-CN"/>
                    </w:rPr>
                    <w:t>3</w:t>
                  </w:r>
                </w:p>
              </w:tc>
              <w:tc>
                <w:tcPr>
                  <w:tcW w:w="1795" w:type="pct"/>
                  <w:tcBorders>
                    <w:tl2br w:val="nil"/>
                    <w:tr2bl w:val="nil"/>
                  </w:tcBorders>
                  <w:noWrap w:val="0"/>
                  <w:vAlign w:val="center"/>
                </w:tcPr>
                <w:p>
                  <w:pPr>
                    <w:pStyle w:val="40"/>
                    <w:adjustRightInd w:val="0"/>
                    <w:snapToGrid w:val="0"/>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《大气污染物综合排放标准》（GB16297-1996）</w:t>
                  </w:r>
                </w:p>
              </w:tc>
            </w:tr>
          </w:tbl>
          <w:p>
            <w:pPr>
              <w:spacing w:before="120" w:beforeLines="50" w:line="360" w:lineRule="auto"/>
              <w:ind w:firstLine="422" w:firstLineChars="200"/>
              <w:jc w:val="center"/>
              <w:rPr>
                <w:rFonts w:hint="default" w:ascii="Times New Roman" w:hAnsi="Times New Roman" w:cs="Times New Roman"/>
                <w:b w:val="0"/>
                <w:bCs/>
                <w:sz w:val="24"/>
                <w:szCs w:val="24"/>
              </w:rPr>
            </w:pPr>
            <w:r>
              <w:rPr>
                <w:rFonts w:hint="default" w:ascii="Times New Roman" w:hAnsi="Times New Roman" w:cs="Times New Roman" w:eastAsiaTheme="minorEastAsia"/>
                <w:b/>
                <w:bCs/>
                <w:color w:val="auto"/>
                <w:kern w:val="2"/>
                <w:sz w:val="21"/>
                <w:szCs w:val="24"/>
                <w:lang w:val="en-US" w:eastAsia="zh-CN" w:bidi="ar-SA"/>
              </w:rPr>
              <w:t>表3-</w:t>
            </w:r>
            <w:r>
              <w:rPr>
                <w:rFonts w:hint="eastAsia" w:cs="Times New Roman" w:eastAsiaTheme="minorEastAsia"/>
                <w:b/>
                <w:bCs/>
                <w:color w:val="auto"/>
                <w:kern w:val="2"/>
                <w:sz w:val="21"/>
                <w:szCs w:val="24"/>
                <w:lang w:val="en-US" w:eastAsia="zh-CN" w:bidi="ar-SA"/>
              </w:rPr>
              <w:t>10</w:t>
            </w:r>
            <w:r>
              <w:rPr>
                <w:rFonts w:hint="default" w:ascii="Times New Roman" w:hAnsi="Times New Roman" w:cs="Times New Roman" w:eastAsiaTheme="minorEastAsia"/>
                <w:b/>
                <w:bCs/>
                <w:color w:val="auto"/>
                <w:kern w:val="2"/>
                <w:sz w:val="21"/>
                <w:szCs w:val="24"/>
                <w:lang w:val="en-US" w:eastAsia="zh-CN" w:bidi="ar-SA"/>
              </w:rPr>
              <w:t xml:space="preserve">  恶臭污染物排放标准排放限值（GB14554-93） </w:t>
            </w:r>
            <w:r>
              <w:rPr>
                <w:rFonts w:hint="default" w:ascii="Times New Roman" w:hAnsi="Times New Roman" w:cs="Times New Roman"/>
                <w:b w:val="0"/>
                <w:bCs/>
                <w:sz w:val="24"/>
                <w:szCs w:val="24"/>
              </w:rPr>
              <w:t xml:space="preserve">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463"/>
              <w:gridCol w:w="1928"/>
              <w:gridCol w:w="3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58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污染源</w:t>
                  </w:r>
                </w:p>
              </w:tc>
              <w:tc>
                <w:tcPr>
                  <w:tcW w:w="90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19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厂界浓度限值</w:t>
                  </w:r>
                </w:p>
              </w:tc>
              <w:tc>
                <w:tcPr>
                  <w:tcW w:w="232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eastAsia="宋体" w:cs="Times New Roman"/>
                      <w:color w:val="auto"/>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trPr>
              <w:tc>
                <w:tcPr>
                  <w:tcW w:w="58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厂界</w:t>
                  </w:r>
                </w:p>
              </w:tc>
              <w:tc>
                <w:tcPr>
                  <w:tcW w:w="90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臭气浓度</w:t>
                  </w:r>
                </w:p>
              </w:tc>
              <w:tc>
                <w:tcPr>
                  <w:tcW w:w="1190"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20（无纲量）</w:t>
                  </w:r>
                </w:p>
              </w:tc>
              <w:tc>
                <w:tcPr>
                  <w:tcW w:w="232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《恶臭污染物排放标准》（GB14554-93）表1中二级标准要求</w:t>
                  </w:r>
                </w:p>
              </w:tc>
            </w:tr>
          </w:tbl>
          <w:p>
            <w:pPr>
              <w:pStyle w:val="82"/>
              <w:snapToGrid w:val="0"/>
              <w:spacing w:line="360" w:lineRule="auto"/>
              <w:ind w:firstLine="480" w:firstLineChars="20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2.废水</w:t>
            </w:r>
          </w:p>
          <w:p>
            <w:pPr>
              <w:pStyle w:val="37"/>
              <w:spacing w:line="360" w:lineRule="auto"/>
              <w:ind w:firstLine="480" w:firstLineChars="200"/>
              <w:jc w:val="both"/>
              <w:rPr>
                <w:rFonts w:hint="eastAsia" w:ascii="Times New Roman" w:hAnsi="Times New Roman" w:eastAsia="宋体" w:cs="Times New Roman"/>
                <w:b w:val="0"/>
                <w:bCs w:val="0"/>
                <w:color w:val="FF0000"/>
                <w:kern w:val="2"/>
                <w:sz w:val="24"/>
                <w:szCs w:val="24"/>
                <w:lang w:eastAsia="zh-CN"/>
              </w:rPr>
            </w:pPr>
            <w:r>
              <w:rPr>
                <w:rFonts w:hint="default" w:ascii="Times New Roman" w:hAnsi="Times New Roman" w:eastAsia="宋体" w:cs="Times New Roman"/>
                <w:b w:val="0"/>
                <w:bCs w:val="0"/>
                <w:color w:val="auto"/>
                <w:kern w:val="2"/>
                <w:sz w:val="24"/>
                <w:szCs w:val="24"/>
              </w:rPr>
              <w:t>本项目</w:t>
            </w:r>
            <w:r>
              <w:rPr>
                <w:rFonts w:hint="default" w:ascii="Times New Roman" w:hAnsi="Times New Roman" w:cs="Times New Roman"/>
                <w:b w:val="0"/>
                <w:bCs w:val="0"/>
                <w:color w:val="auto"/>
                <w:kern w:val="2"/>
                <w:sz w:val="24"/>
                <w:szCs w:val="24"/>
                <w:lang w:eastAsia="zh-CN"/>
              </w:rPr>
              <w:t>运营期</w:t>
            </w:r>
            <w:r>
              <w:rPr>
                <w:rFonts w:hint="default" w:ascii="Times New Roman" w:hAnsi="Times New Roman" w:eastAsia="宋体" w:cs="Times New Roman"/>
                <w:b w:val="0"/>
                <w:bCs w:val="0"/>
                <w:color w:val="auto"/>
                <w:sz w:val="24"/>
                <w:szCs w:val="24"/>
              </w:rPr>
              <w:t>清洗</w:t>
            </w:r>
            <w:r>
              <w:rPr>
                <w:rFonts w:hint="default" w:ascii="Times New Roman" w:hAnsi="Times New Roman" w:cs="Times New Roman"/>
                <w:b w:val="0"/>
                <w:bCs w:val="0"/>
                <w:color w:val="auto"/>
                <w:sz w:val="24"/>
                <w:szCs w:val="24"/>
                <w:lang w:eastAsia="zh-CN"/>
              </w:rPr>
              <w:t>废水</w:t>
            </w:r>
            <w:r>
              <w:rPr>
                <w:rFonts w:hint="default" w:ascii="Times New Roman" w:hAnsi="Times New Roman" w:eastAsia="宋体" w:cs="Times New Roman"/>
                <w:b w:val="0"/>
                <w:bCs w:val="0"/>
                <w:color w:val="auto"/>
                <w:sz w:val="24"/>
                <w:szCs w:val="24"/>
              </w:rPr>
              <w:t>与车间地面冲洗废水暂存密闭储罐，由专用罐车拉运至</w:t>
            </w:r>
            <w:r>
              <w:rPr>
                <w:rFonts w:hint="eastAsia" w:ascii="Times New Roman" w:cs="Times New Roman"/>
                <w:b w:val="0"/>
                <w:bCs w:val="0"/>
                <w:color w:val="auto"/>
                <w:sz w:val="24"/>
                <w:szCs w:val="24"/>
                <w:lang w:eastAsia="zh-CN"/>
              </w:rPr>
              <w:t>五常市民泉污水处理有限公司</w:t>
            </w:r>
            <w:r>
              <w:rPr>
                <w:rFonts w:hint="default" w:ascii="Times New Roman" w:hAnsi="Times New Roman" w:eastAsia="宋体" w:cs="Times New Roman"/>
                <w:b w:val="0"/>
                <w:bCs w:val="0"/>
                <w:color w:val="auto"/>
                <w:sz w:val="24"/>
                <w:szCs w:val="24"/>
              </w:rPr>
              <w:t>处理</w:t>
            </w:r>
            <w:r>
              <w:rPr>
                <w:rFonts w:hint="default" w:ascii="Times New Roman" w:hAnsi="Times New Roman" w:eastAsia="宋体" w:cs="Times New Roman"/>
                <w:b w:val="0"/>
                <w:bCs w:val="0"/>
                <w:color w:val="auto"/>
                <w:kern w:val="2"/>
                <w:sz w:val="24"/>
                <w:szCs w:val="24"/>
              </w:rPr>
              <w:t>。</w:t>
            </w:r>
            <w:r>
              <w:rPr>
                <w:rFonts w:hint="default" w:ascii="Times New Roman" w:hAnsi="Times New Roman" w:eastAsia="宋体" w:cs="Times New Roman"/>
                <w:b w:val="0"/>
                <w:bCs w:val="0"/>
                <w:color w:val="auto"/>
                <w:sz w:val="24"/>
                <w:szCs w:val="24"/>
              </w:rPr>
              <w:t>清洗</w:t>
            </w:r>
            <w:r>
              <w:rPr>
                <w:rFonts w:hint="default" w:ascii="Times New Roman" w:hAnsi="Times New Roman" w:cs="Times New Roman"/>
                <w:b w:val="0"/>
                <w:bCs w:val="0"/>
                <w:color w:val="auto"/>
                <w:sz w:val="24"/>
                <w:szCs w:val="24"/>
                <w:lang w:eastAsia="zh-CN"/>
              </w:rPr>
              <w:t>废水</w:t>
            </w:r>
            <w:r>
              <w:rPr>
                <w:rFonts w:hint="default" w:ascii="Times New Roman" w:hAnsi="Times New Roman" w:eastAsia="宋体" w:cs="Times New Roman"/>
                <w:b w:val="0"/>
                <w:bCs w:val="0"/>
                <w:color w:val="auto"/>
                <w:sz w:val="24"/>
                <w:szCs w:val="24"/>
              </w:rPr>
              <w:t>与车间地面冲洗废水</w:t>
            </w:r>
            <w:r>
              <w:rPr>
                <w:rFonts w:hint="eastAsia" w:ascii="Times New Roman" w:hAnsi="Times New Roman" w:cs="Times New Roman"/>
                <w:b w:val="0"/>
                <w:bCs w:val="0"/>
                <w:color w:val="auto"/>
                <w:sz w:val="24"/>
                <w:szCs w:val="24"/>
                <w:lang w:eastAsia="zh-CN"/>
              </w:rPr>
              <w:t>需</w:t>
            </w:r>
            <w:r>
              <w:rPr>
                <w:rFonts w:hint="default" w:ascii="Times New Roman" w:hAnsi="Times New Roman" w:eastAsia="宋体" w:cs="Times New Roman"/>
                <w:b w:val="0"/>
                <w:bCs w:val="0"/>
                <w:color w:val="auto"/>
                <w:sz w:val="24"/>
                <w:szCs w:val="24"/>
                <w:highlight w:val="none"/>
              </w:rPr>
              <w:t>满足《污水综合排放标准》（GB8978-1996）三级标准及</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进水水质标准</w:t>
            </w:r>
            <w:r>
              <w:rPr>
                <w:rFonts w:hint="eastAsia" w:ascii="Times New Roman" w:hAnsi="Times New Roman" w:cs="Times New Roman"/>
                <w:b w:val="0"/>
                <w:bCs w:val="0"/>
                <w:color w:val="auto"/>
                <w:sz w:val="24"/>
                <w:szCs w:val="24"/>
                <w:highlight w:val="none"/>
                <w:lang w:eastAsia="zh-CN"/>
              </w:rPr>
              <w:t>。</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eastAsia" w:ascii="Times New Roman" w:hAnsi="Times New Roman" w:cs="Times New Roman" w:eastAsiaTheme="minorEastAsia"/>
                <w:b/>
                <w:bCs/>
                <w:color w:val="auto"/>
                <w:sz w:val="21"/>
                <w:szCs w:val="24"/>
                <w:lang w:val="en-US" w:eastAsia="zh-CN"/>
              </w:rPr>
              <w:t>11</w:t>
            </w:r>
            <w:r>
              <w:rPr>
                <w:rFonts w:hint="default" w:ascii="Times New Roman" w:hAnsi="Times New Roman" w:cs="Times New Roman" w:eastAsiaTheme="minorEastAsia"/>
                <w:b/>
                <w:bCs/>
                <w:color w:val="auto"/>
                <w:sz w:val="21"/>
                <w:szCs w:val="24"/>
              </w:rPr>
              <w:t xml:space="preserve">  《污水综合排放标准》（GB8978-1996）三级标准</w:t>
            </w:r>
          </w:p>
          <w:tbl>
            <w:tblPr>
              <w:tblStyle w:val="3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10"/>
              <w:gridCol w:w="3893"/>
              <w:gridCol w:w="29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序号</w:t>
                  </w:r>
                </w:p>
              </w:tc>
              <w:tc>
                <w:tcPr>
                  <w:tcW w:w="2404"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控制项目</w:t>
                  </w:r>
                </w:p>
              </w:tc>
              <w:tc>
                <w:tcPr>
                  <w:tcW w:w="18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三级标准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1</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COD</w:t>
                  </w:r>
                </w:p>
              </w:tc>
              <w:tc>
                <w:tcPr>
                  <w:tcW w:w="1847"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7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2</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SS</w:t>
                  </w:r>
                </w:p>
              </w:tc>
              <w:tc>
                <w:tcPr>
                  <w:tcW w:w="1847"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7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3</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氨氮</w:t>
                  </w:r>
                </w:p>
              </w:tc>
              <w:tc>
                <w:tcPr>
                  <w:tcW w:w="1847"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7" w:type="pct"/>
                  <w:vAlign w:val="center"/>
                </w:tcPr>
                <w:p>
                  <w:pPr>
                    <w:autoSpaceDE w:val="0"/>
                    <w:autoSpaceDN w:val="0"/>
                    <w:adjustRightInd w:val="0"/>
                    <w:snapToGrid w:val="0"/>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4</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cs="Times New Roman"/>
                      <w:snapToGrid w:val="0"/>
                      <w:kern w:val="0"/>
                      <w:sz w:val="21"/>
                      <w:szCs w:val="21"/>
                      <w:lang w:val="en-US" w:eastAsia="zh-CN"/>
                    </w:rPr>
                    <w:t>BOD</w:t>
                  </w:r>
                  <w:r>
                    <w:rPr>
                      <w:rFonts w:hint="eastAsia" w:cs="Times New Roman"/>
                      <w:snapToGrid w:val="0"/>
                      <w:kern w:val="0"/>
                      <w:sz w:val="21"/>
                      <w:szCs w:val="21"/>
                      <w:vertAlign w:val="subscript"/>
                      <w:lang w:val="en-US" w:eastAsia="zh-CN"/>
                    </w:rPr>
                    <w:t>5</w:t>
                  </w:r>
                </w:p>
              </w:tc>
              <w:tc>
                <w:tcPr>
                  <w:tcW w:w="1847" w:type="pct"/>
                  <w:vAlign w:val="center"/>
                </w:tcPr>
                <w:p>
                  <w:pPr>
                    <w:autoSpaceDE w:val="0"/>
                    <w:autoSpaceDN w:val="0"/>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cs="Times New Roman"/>
                      <w:snapToGrid w:val="0"/>
                      <w:kern w:val="0"/>
                      <w:sz w:val="21"/>
                      <w:szCs w:val="21"/>
                      <w:lang w:val="en-US" w:eastAsia="zh-CN"/>
                    </w:rPr>
                    <w:t>300</w:t>
                  </w:r>
                </w:p>
              </w:tc>
            </w:tr>
          </w:tbl>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w:t>
            </w:r>
            <w:r>
              <w:rPr>
                <w:rFonts w:hint="eastAsia" w:ascii="Times New Roman" w:hAnsi="Times New Roman" w:cs="Times New Roman" w:eastAsiaTheme="minorEastAsia"/>
                <w:b/>
                <w:bCs/>
                <w:color w:val="auto"/>
                <w:sz w:val="21"/>
                <w:szCs w:val="24"/>
                <w:lang w:val="en-US" w:eastAsia="zh-CN"/>
              </w:rPr>
              <w:t xml:space="preserve">12 </w:t>
            </w:r>
            <w:r>
              <w:rPr>
                <w:rFonts w:hint="default" w:ascii="Times New Roman" w:hAnsi="Times New Roman" w:cs="Times New Roman" w:eastAsiaTheme="minorEastAsia"/>
                <w:b/>
                <w:bCs/>
                <w:color w:val="auto"/>
                <w:sz w:val="21"/>
                <w:szCs w:val="24"/>
              </w:rPr>
              <w:t xml:space="preserve"> </w:t>
            </w:r>
            <w:r>
              <w:rPr>
                <w:rFonts w:hint="eastAsia" w:ascii="Times New Roman" w:hAnsi="Times New Roman" w:cs="Times New Roman" w:eastAsiaTheme="minorEastAsia"/>
                <w:b/>
                <w:bCs/>
                <w:color w:val="auto"/>
                <w:sz w:val="21"/>
                <w:szCs w:val="24"/>
                <w:lang w:eastAsia="zh-CN"/>
              </w:rPr>
              <w:t>五常市民泉污水处理有限公司</w:t>
            </w:r>
            <w:r>
              <w:rPr>
                <w:rFonts w:hint="default" w:ascii="Times New Roman" w:hAnsi="Times New Roman" w:cs="Times New Roman" w:eastAsiaTheme="minorEastAsia"/>
                <w:b/>
                <w:bCs/>
                <w:color w:val="auto"/>
                <w:sz w:val="21"/>
                <w:szCs w:val="24"/>
              </w:rPr>
              <w:t>进水水质标准</w:t>
            </w:r>
          </w:p>
          <w:tbl>
            <w:tblPr>
              <w:tblStyle w:val="32"/>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8"/>
              <w:gridCol w:w="3893"/>
              <w:gridCol w:w="29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序号</w:t>
                  </w:r>
                </w:p>
              </w:tc>
              <w:tc>
                <w:tcPr>
                  <w:tcW w:w="2404"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控制项目</w:t>
                  </w:r>
                </w:p>
              </w:tc>
              <w:tc>
                <w:tcPr>
                  <w:tcW w:w="1848"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三级标准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1</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COD</w:t>
                  </w:r>
                </w:p>
              </w:tc>
              <w:tc>
                <w:tcPr>
                  <w:tcW w:w="1848"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350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2</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BOD</w:t>
                  </w:r>
                  <w:r>
                    <w:rPr>
                      <w:rFonts w:hint="eastAsia" w:cs="Times New Roman"/>
                      <w:snapToGrid w:val="0"/>
                      <w:color w:val="auto"/>
                      <w:kern w:val="0"/>
                      <w:vertAlign w:val="subscript"/>
                      <w:lang w:val="en-US" w:eastAsia="zh-CN"/>
                    </w:rPr>
                    <w:t>5</w:t>
                  </w:r>
                </w:p>
              </w:tc>
              <w:tc>
                <w:tcPr>
                  <w:tcW w:w="1848"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3</w:t>
                  </w:r>
                </w:p>
              </w:tc>
              <w:tc>
                <w:tcPr>
                  <w:tcW w:w="2404" w:type="pct"/>
                  <w:vAlign w:val="center"/>
                </w:tcPr>
                <w:p>
                  <w:pPr>
                    <w:autoSpaceDE w:val="0"/>
                    <w:autoSpaceDN w:val="0"/>
                    <w:adjustRightInd w:val="0"/>
                    <w:snapToGrid w:val="0"/>
                    <w:jc w:val="center"/>
                    <w:rPr>
                      <w:rFonts w:hint="eastAsia"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SS</w:t>
                  </w:r>
                </w:p>
              </w:tc>
              <w:tc>
                <w:tcPr>
                  <w:tcW w:w="1848"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eastAsia" w:cs="Times New Roman"/>
                      <w:snapToGrid w:val="0"/>
                      <w:color w:val="auto"/>
                      <w:kern w:val="0"/>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4</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氨氮</w:t>
                  </w:r>
                </w:p>
              </w:tc>
              <w:tc>
                <w:tcPr>
                  <w:tcW w:w="1848"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eastAsia" w:cs="Times New Roman"/>
                      <w:snapToGrid w:val="0"/>
                      <w:color w:val="auto"/>
                      <w:kern w:val="0"/>
                      <w:lang w:val="en-US" w:eastAsia="zh-CN"/>
                    </w:rPr>
                    <w:t>2</w:t>
                  </w:r>
                  <w:r>
                    <w:rPr>
                      <w:rFonts w:hint="default" w:ascii="Times New Roman" w:hAnsi="Times New Roman" w:cs="Times New Roman"/>
                      <w:snapToGrid w:val="0"/>
                      <w:color w:val="auto"/>
                      <w:kern w:val="0"/>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5</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总磷</w:t>
                  </w:r>
                </w:p>
              </w:tc>
              <w:tc>
                <w:tcPr>
                  <w:tcW w:w="1848"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eastAsia" w:cs="Times New Roman"/>
                      <w:snapToGrid w:val="0"/>
                      <w:color w:val="auto"/>
                      <w:kern w:val="0"/>
                      <w:lang w:val="en-US" w:eastAsia="zh-CN"/>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46" w:type="pct"/>
                  <w:vAlign w:val="center"/>
                </w:tcPr>
                <w:p>
                  <w:pPr>
                    <w:autoSpaceDE w:val="0"/>
                    <w:autoSpaceDN w:val="0"/>
                    <w:adjustRightInd w:val="0"/>
                    <w:snapToGrid w:val="0"/>
                    <w:jc w:val="center"/>
                    <w:rPr>
                      <w:rFonts w:hint="default" w:ascii="Times New Roman" w:hAnsi="Times New Roman" w:cs="Times New Roman"/>
                      <w:snapToGrid w:val="0"/>
                      <w:color w:val="auto"/>
                      <w:kern w:val="0"/>
                    </w:rPr>
                  </w:pPr>
                  <w:r>
                    <w:rPr>
                      <w:rFonts w:hint="default" w:ascii="Times New Roman" w:hAnsi="Times New Roman" w:cs="Times New Roman"/>
                      <w:snapToGrid w:val="0"/>
                      <w:color w:val="auto"/>
                      <w:kern w:val="0"/>
                    </w:rPr>
                    <w:t>6</w:t>
                  </w:r>
                </w:p>
              </w:tc>
              <w:tc>
                <w:tcPr>
                  <w:tcW w:w="2404" w:type="pct"/>
                  <w:vAlign w:val="center"/>
                </w:tcPr>
                <w:p>
                  <w:pPr>
                    <w:autoSpaceDE w:val="0"/>
                    <w:autoSpaceDN w:val="0"/>
                    <w:adjustRightInd w:val="0"/>
                    <w:snapToGrid w:val="0"/>
                    <w:jc w:val="center"/>
                    <w:rPr>
                      <w:rFonts w:hint="default"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总氮</w:t>
                  </w:r>
                </w:p>
              </w:tc>
              <w:tc>
                <w:tcPr>
                  <w:tcW w:w="1848" w:type="pct"/>
                  <w:vAlign w:val="center"/>
                </w:tcPr>
                <w:p>
                  <w:pPr>
                    <w:autoSpaceDE w:val="0"/>
                    <w:autoSpaceDN w:val="0"/>
                    <w:adjustRightInd w:val="0"/>
                    <w:snapToGrid w:val="0"/>
                    <w:jc w:val="center"/>
                    <w:rPr>
                      <w:rFonts w:hint="eastAsia" w:ascii="Times New Roman" w:hAnsi="Times New Roman" w:eastAsia="宋体" w:cs="Times New Roman"/>
                      <w:snapToGrid w:val="0"/>
                      <w:color w:val="auto"/>
                      <w:kern w:val="0"/>
                      <w:sz w:val="21"/>
                      <w:szCs w:val="24"/>
                      <w:lang w:val="en-US" w:eastAsia="zh-CN" w:bidi="ar-SA"/>
                    </w:rPr>
                  </w:pPr>
                  <w:r>
                    <w:rPr>
                      <w:rFonts w:hint="default" w:ascii="Times New Roman" w:hAnsi="Times New Roman" w:cs="Times New Roman"/>
                      <w:snapToGrid w:val="0"/>
                      <w:color w:val="auto"/>
                      <w:kern w:val="0"/>
                    </w:rPr>
                    <w:t>4</w:t>
                  </w:r>
                  <w:r>
                    <w:rPr>
                      <w:rFonts w:hint="eastAsia" w:cs="Times New Roman"/>
                      <w:snapToGrid w:val="0"/>
                      <w:color w:val="auto"/>
                      <w:kern w:val="0"/>
                      <w:lang w:val="en-US" w:eastAsia="zh-CN"/>
                    </w:rPr>
                    <w:t>0</w:t>
                  </w:r>
                </w:p>
              </w:tc>
            </w:tr>
          </w:tbl>
          <w:p>
            <w:pPr>
              <w:pStyle w:val="82"/>
              <w:snapToGrid w:val="0"/>
              <w:spacing w:line="360" w:lineRule="auto"/>
              <w:ind w:left="440" w:right="-57" w:firstLine="0" w:firstLineChars="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3.噪声</w:t>
            </w:r>
          </w:p>
          <w:p>
            <w:pPr>
              <w:adjustRightInd w:val="0"/>
              <w:snapToGrid w:val="0"/>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eastAsia="宋体" w:cs="Times New Roman"/>
                <w:b w:val="0"/>
                <w:bCs w:val="0"/>
                <w:color w:val="auto"/>
                <w:spacing w:val="0"/>
                <w:kern w:val="0"/>
                <w:sz w:val="24"/>
                <w:szCs w:val="24"/>
                <w:highlight w:val="none"/>
                <w:lang w:val="en-US" w:eastAsia="zh-CN"/>
              </w:rPr>
              <w:t>本项目</w:t>
            </w:r>
            <w:r>
              <w:rPr>
                <w:rFonts w:hint="default" w:ascii="Times New Roman" w:hAnsi="Times New Roman" w:eastAsia="宋体" w:cs="Times New Roman"/>
                <w:b w:val="0"/>
                <w:bCs w:val="0"/>
                <w:color w:val="auto"/>
                <w:spacing w:val="0"/>
                <w:kern w:val="0"/>
                <w:sz w:val="24"/>
                <w:szCs w:val="24"/>
                <w:highlight w:val="none"/>
              </w:rPr>
              <w:t>施工期施工场界噪声执行《建筑施工场界环境噪声排放标准》（GB12532-2011）</w:t>
            </w:r>
            <w:r>
              <w:rPr>
                <w:rFonts w:hint="default" w:ascii="Times New Roman" w:hAnsi="Times New Roman" w:eastAsia="宋体" w:cs="Times New Roman"/>
                <w:b w:val="0"/>
                <w:bCs w:val="0"/>
                <w:color w:val="auto"/>
                <w:spacing w:val="0"/>
                <w:kern w:val="0"/>
                <w:sz w:val="24"/>
                <w:szCs w:val="24"/>
                <w:highlight w:val="none"/>
                <w:lang w:eastAsia="zh-CN"/>
              </w:rPr>
              <w:t>；</w:t>
            </w:r>
            <w:r>
              <w:rPr>
                <w:rFonts w:hint="default" w:ascii="Times New Roman" w:hAnsi="Times New Roman" w:cs="Times New Roman"/>
                <w:b w:val="0"/>
                <w:bCs w:val="0"/>
                <w:sz w:val="24"/>
                <w:szCs w:val="24"/>
                <w:lang w:eastAsia="zh-CN"/>
              </w:rPr>
              <w:t>运营</w:t>
            </w:r>
            <w:r>
              <w:rPr>
                <w:rFonts w:hint="default" w:ascii="Times New Roman" w:hAnsi="Times New Roman" w:cs="Times New Roman"/>
                <w:b w:val="0"/>
                <w:bCs w:val="0"/>
                <w:sz w:val="24"/>
                <w:szCs w:val="24"/>
              </w:rPr>
              <w:t>期厂界噪声执行《工业企业厂界环境噪声排放标准》（GB12348—2008）表1中2类标准。标准值见下表。</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表3-1</w:t>
            </w:r>
            <w:r>
              <w:rPr>
                <w:rFonts w:hint="eastAsia" w:ascii="Times New Roman" w:hAnsi="Times New Roman" w:cs="Times New Roman" w:eastAsiaTheme="minorEastAsia"/>
                <w:b/>
                <w:bCs/>
                <w:color w:val="auto"/>
                <w:sz w:val="21"/>
                <w:szCs w:val="24"/>
                <w:lang w:val="en-US" w:eastAsia="zh-CN"/>
              </w:rPr>
              <w:t>3</w:t>
            </w:r>
            <w:r>
              <w:rPr>
                <w:rFonts w:hint="default" w:ascii="Times New Roman" w:hAnsi="Times New Roman" w:cs="Times New Roman" w:eastAsiaTheme="minorEastAsia"/>
                <w:b/>
                <w:bCs/>
                <w:color w:val="auto"/>
                <w:sz w:val="21"/>
                <w:szCs w:val="24"/>
              </w:rPr>
              <w:t xml:space="preserve">  噪声排放标准</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927"/>
              <w:gridCol w:w="3586"/>
              <w:gridCol w:w="713"/>
              <w:gridCol w:w="920"/>
              <w:gridCol w:w="756"/>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75"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类别</w:t>
                  </w:r>
                </w:p>
              </w:tc>
              <w:tc>
                <w:tcPr>
                  <w:tcW w:w="2786" w:type="pct"/>
                  <w:gridSpan w:val="2"/>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标准名称及级（类）别</w:t>
                  </w:r>
                </w:p>
              </w:tc>
              <w:tc>
                <w:tcPr>
                  <w:tcW w:w="440"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污染</w:t>
                  </w:r>
                </w:p>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因子</w:t>
                  </w:r>
                </w:p>
              </w:tc>
              <w:tc>
                <w:tcPr>
                  <w:tcW w:w="1497" w:type="pct"/>
                  <w:gridSpan w:val="3"/>
                  <w:tcBorders>
                    <w:tl2br w:val="nil"/>
                    <w:tr2bl w:val="nil"/>
                  </w:tcBorders>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2786" w:type="pct"/>
                  <w:gridSpan w:val="2"/>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440"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1035" w:type="pct"/>
                  <w:gridSpan w:val="2"/>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567"/>
                    <w:jc w:val="both"/>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单位</w:t>
                  </w:r>
                </w:p>
              </w:tc>
              <w:tc>
                <w:tcPr>
                  <w:tcW w:w="462"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噪声</w:t>
                  </w:r>
                </w:p>
              </w:tc>
              <w:tc>
                <w:tcPr>
                  <w:tcW w:w="572"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eastAsia="zh-CN"/>
                    </w:rPr>
                    <w:t>施工期</w:t>
                  </w:r>
                </w:p>
              </w:tc>
              <w:tc>
                <w:tcPr>
                  <w:tcW w:w="2214"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《建筑施工场界环境噪声排放标准》（GB12523-2011）</w:t>
                  </w:r>
                </w:p>
              </w:tc>
              <w:tc>
                <w:tcPr>
                  <w:tcW w:w="440"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噪声</w:t>
                  </w:r>
                </w:p>
              </w:tc>
              <w:tc>
                <w:tcPr>
                  <w:tcW w:w="568"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dB(A)</w:t>
                  </w:r>
                </w:p>
              </w:tc>
              <w:tc>
                <w:tcPr>
                  <w:tcW w:w="467"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昼间</w:t>
                  </w:r>
                </w:p>
              </w:tc>
              <w:tc>
                <w:tcPr>
                  <w:tcW w:w="462"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rPr>
                  </w:pPr>
                </w:p>
              </w:tc>
              <w:tc>
                <w:tcPr>
                  <w:tcW w:w="572" w:type="pct"/>
                  <w:vMerge w:val="continue"/>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bottom"/>
                    <w:outlineLvl w:val="9"/>
                    <w:rPr>
                      <w:rFonts w:hint="default" w:ascii="Times New Roman" w:hAnsi="Times New Roman" w:cs="Times New Roman"/>
                      <w:color w:val="auto"/>
                      <w:sz w:val="21"/>
                      <w:szCs w:val="21"/>
                      <w:highlight w:val="none"/>
                      <w:lang w:val="en-US" w:eastAsia="zh-CN"/>
                    </w:rPr>
                  </w:pPr>
                </w:p>
              </w:tc>
              <w:tc>
                <w:tcPr>
                  <w:tcW w:w="2214"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440"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568"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467"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夜间</w:t>
                  </w:r>
                </w:p>
              </w:tc>
              <w:tc>
                <w:tcPr>
                  <w:tcW w:w="462"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rPr>
                  </w:pPr>
                </w:p>
              </w:tc>
              <w:tc>
                <w:tcPr>
                  <w:tcW w:w="572"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2214" w:type="pct"/>
                  <w:vMerge w:val="restart"/>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210" w:leftChars="0" w:right="0" w:rightChars="0" w:hanging="210" w:hangingChars="10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《工业企业厂界环境噪声排放标准》（GB12348-2008）2类标准</w:t>
                  </w:r>
                </w:p>
              </w:tc>
              <w:tc>
                <w:tcPr>
                  <w:tcW w:w="44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噪声</w:t>
                  </w:r>
                </w:p>
              </w:tc>
              <w:tc>
                <w:tcPr>
                  <w:tcW w:w="568" w:type="pct"/>
                  <w:vMerge w:val="restar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dB(A)</w:t>
                  </w:r>
                </w:p>
              </w:tc>
              <w:tc>
                <w:tcPr>
                  <w:tcW w:w="467"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昼间</w:t>
                  </w:r>
                </w:p>
              </w:tc>
              <w:tc>
                <w:tcPr>
                  <w:tcW w:w="462"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rPr>
                  </w:pPr>
                </w:p>
              </w:tc>
              <w:tc>
                <w:tcPr>
                  <w:tcW w:w="572" w:type="pct"/>
                  <w:vMerge w:val="continue"/>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eastAsia="zh-CN"/>
                    </w:rPr>
                  </w:pPr>
                </w:p>
              </w:tc>
              <w:tc>
                <w:tcPr>
                  <w:tcW w:w="2214" w:type="pct"/>
                  <w:vMerge w:val="continue"/>
                  <w:tcBorders>
                    <w:tl2br w:val="nil"/>
                    <w:tr2bl w:val="nil"/>
                  </w:tcBorders>
                  <w:noWrap w:val="0"/>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210" w:leftChars="0" w:right="0" w:rightChars="0" w:hanging="210" w:hangingChars="100"/>
                    <w:jc w:val="center"/>
                    <w:outlineLvl w:val="9"/>
                    <w:rPr>
                      <w:rFonts w:hint="default" w:ascii="Times New Roman" w:hAnsi="Times New Roman" w:cs="Times New Roman"/>
                      <w:color w:val="auto"/>
                      <w:sz w:val="21"/>
                      <w:szCs w:val="21"/>
                      <w:highlight w:val="none"/>
                      <w:lang w:val="en-US" w:eastAsia="zh-CN"/>
                    </w:rPr>
                  </w:pPr>
                </w:p>
              </w:tc>
              <w:tc>
                <w:tcPr>
                  <w:tcW w:w="44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p>
              </w:tc>
              <w:tc>
                <w:tcPr>
                  <w:tcW w:w="568" w:type="pct"/>
                  <w:vMerge w:val="continue"/>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sz w:val="21"/>
                      <w:szCs w:val="21"/>
                      <w:highlight w:val="none"/>
                      <w:lang w:val="en-US" w:eastAsia="zh-CN"/>
                    </w:rPr>
                  </w:pPr>
                </w:p>
              </w:tc>
              <w:tc>
                <w:tcPr>
                  <w:tcW w:w="467"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夜间</w:t>
                  </w:r>
                </w:p>
              </w:tc>
              <w:tc>
                <w:tcPr>
                  <w:tcW w:w="462" w:type="pct"/>
                  <w:tcBorders>
                    <w:tl2br w:val="nil"/>
                    <w:tr2bl w:val="nil"/>
                  </w:tcBorders>
                  <w:noWrap w:val="0"/>
                  <w:vAlign w:val="center"/>
                </w:tcPr>
                <w:p>
                  <w:pPr>
                    <w:pStyle w:val="2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50</w:t>
                  </w:r>
                </w:p>
              </w:tc>
            </w:tr>
          </w:tbl>
          <w:p>
            <w:pPr>
              <w:pStyle w:val="82"/>
              <w:snapToGrid w:val="0"/>
              <w:spacing w:line="360" w:lineRule="auto"/>
              <w:ind w:left="-42" w:right="-57"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4.固体废物</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 w:val="0"/>
                <w:bCs w:val="0"/>
                <w:sz w:val="24"/>
                <w:szCs w:val="24"/>
              </w:rPr>
              <w:t>一般工业固体废物如污泥等执行《一般工业固体废物贮存和填埋污染控制标准》（GB18599-2020）和《一般固体废物分类与代码》（GB/T39198-2020）中的有关规定</w:t>
            </w:r>
            <w:r>
              <w:rPr>
                <w:rFonts w:hint="default" w:ascii="Times New Roman" w:hAnsi="Times New Roman" w:eastAsia="宋体" w:cs="Times New Roman"/>
                <w:b w:val="0"/>
                <w:bCs w:val="0"/>
                <w:color w:val="auto"/>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01" w:hRule="atLeast"/>
          <w:jc w:val="center"/>
        </w:trPr>
        <w:tc>
          <w:tcPr>
            <w:tcW w:w="736" w:type="dxa"/>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总量控制指标</w:t>
            </w:r>
          </w:p>
        </w:tc>
        <w:tc>
          <w:tcPr>
            <w:tcW w:w="8325" w:type="dxa"/>
            <w:vAlign w:val="center"/>
          </w:tcPr>
          <w:p>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rPr>
            </w:pPr>
            <w:r>
              <w:rPr>
                <w:rFonts w:hint="default" w:ascii="Times New Roman" w:hAnsi="Times New Roman" w:eastAsia="宋体" w:cs="Times New Roman"/>
                <w:b w:val="0"/>
                <w:bCs w:val="0"/>
                <w:color w:val="auto"/>
                <w:kern w:val="0"/>
                <w:sz w:val="24"/>
                <w:highlight w:val="none"/>
              </w:rPr>
              <w:t>在满足浓度达标的前提下，实行总量控制。本项目建成后，总量控制指标如表3</w:t>
            </w:r>
            <w:r>
              <w:rPr>
                <w:rFonts w:hint="eastAsia" w:ascii="Times New Roman" w:hAnsi="Times New Roman" w:cs="Times New Roman"/>
                <w:b w:val="0"/>
                <w:bCs w:val="0"/>
                <w:color w:val="auto"/>
                <w:kern w:val="0"/>
                <w:sz w:val="24"/>
                <w:highlight w:val="none"/>
                <w:lang w:val="en-US" w:eastAsia="zh-CN"/>
              </w:rPr>
              <w:t>-14</w:t>
            </w:r>
            <w:r>
              <w:rPr>
                <w:rFonts w:hint="default" w:ascii="Times New Roman" w:hAnsi="Times New Roman" w:cs="Times New Roman"/>
                <w:b w:val="0"/>
                <w:bCs w:val="0"/>
                <w:color w:val="auto"/>
                <w:kern w:val="0"/>
                <w:sz w:val="24"/>
                <w:highlight w:val="none"/>
                <w:lang w:val="en-US" w:eastAsia="zh-CN"/>
              </w:rPr>
              <w:t>，总量计算过程见附件1。</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表3-1</w:t>
            </w:r>
            <w:r>
              <w:rPr>
                <w:rFonts w:hint="eastAsia" w:ascii="Times New Roman" w:hAnsi="Times New Roman" w:cs="Times New Roman" w:eastAsiaTheme="minorEastAsia"/>
                <w:b/>
                <w:bCs/>
                <w:color w:val="auto"/>
                <w:sz w:val="21"/>
                <w:szCs w:val="24"/>
                <w:lang w:val="en-US" w:eastAsia="zh-CN"/>
              </w:rPr>
              <w:t>4</w:t>
            </w:r>
            <w:r>
              <w:rPr>
                <w:rFonts w:hint="default" w:ascii="Times New Roman" w:hAnsi="Times New Roman" w:cs="Times New Roman" w:eastAsiaTheme="minorEastAsia"/>
                <w:b/>
                <w:bCs/>
                <w:color w:val="auto"/>
                <w:sz w:val="21"/>
                <w:szCs w:val="24"/>
                <w:lang w:val="en-US" w:eastAsia="zh-CN"/>
              </w:rPr>
              <w:t xml:space="preserve">  总量控制表        单位：t/a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5"/>
              <w:gridCol w:w="2892"/>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33" w:type="pct"/>
                  <w:tcBorders>
                    <w:tl2br w:val="nil"/>
                    <w:tr2bl w:val="nil"/>
                  </w:tcBorders>
                  <w:vAlign w:val="center"/>
                </w:tcPr>
                <w:p>
                  <w:pPr>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1785" w:type="pct"/>
                  <w:tcBorders>
                    <w:tl2br w:val="nil"/>
                    <w:tr2bl w:val="nil"/>
                  </w:tcBorders>
                  <w:vAlign w:val="center"/>
                </w:tcPr>
                <w:p>
                  <w:pPr>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核定排放总量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3" w:type="pct"/>
                  <w:tcBorders>
                    <w:tl2br w:val="nil"/>
                    <w:tr2bl w:val="nil"/>
                  </w:tcBorders>
                  <w:vAlign w:val="center"/>
                </w:tcPr>
                <w:p>
                  <w:pPr>
                    <w:spacing w:line="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烟尘</w:t>
                  </w:r>
                </w:p>
              </w:tc>
              <w:tc>
                <w:tcPr>
                  <w:tcW w:w="29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0.216</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0.</w:t>
                  </w:r>
                  <w:r>
                    <w:rPr>
                      <w:rFonts w:hint="eastAsia" w:cs="Times New Roman"/>
                      <w:i w:val="0"/>
                      <w:iCs w:val="0"/>
                      <w:color w:val="auto"/>
                      <w:kern w:val="0"/>
                      <w:sz w:val="21"/>
                      <w:szCs w:val="21"/>
                      <w:highlight w:val="none"/>
                      <w:u w:val="none"/>
                      <w:lang w:val="en-US" w:eastAsia="zh-CN" w:bidi="ar"/>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33" w:type="pct"/>
                  <w:tcBorders>
                    <w:tl2br w:val="nil"/>
                    <w:tr2bl w:val="nil"/>
                  </w:tcBorders>
                  <w:vAlign w:val="center"/>
                </w:tcPr>
                <w:p>
                  <w:pPr>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29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0.48</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33" w:type="pct"/>
                  <w:tcBorders>
                    <w:tl2br w:val="nil"/>
                    <w:tr2bl w:val="nil"/>
                  </w:tcBorders>
                  <w:vAlign w:val="center"/>
                </w:tcPr>
                <w:p>
                  <w:pPr>
                    <w:spacing w:line="0" w:lineRule="atLeas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NO</w:t>
                  </w:r>
                  <w:r>
                    <w:rPr>
                      <w:rFonts w:hint="default" w:ascii="Times New Roman" w:hAnsi="Times New Roman" w:eastAsia="宋体" w:cs="Times New Roman"/>
                      <w:color w:val="auto"/>
                      <w:sz w:val="21"/>
                      <w:szCs w:val="21"/>
                      <w:highlight w:val="none"/>
                      <w:vertAlign w:val="subscript"/>
                      <w:lang w:val="zh-CN"/>
                    </w:rPr>
                    <w:t>X</w:t>
                  </w:r>
                </w:p>
              </w:tc>
              <w:tc>
                <w:tcPr>
                  <w:tcW w:w="299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1.39</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33" w:type="pct"/>
                  <w:tcBorders>
                    <w:tl2br w:val="nil"/>
                    <w:tr2bl w:val="nil"/>
                  </w:tcBorders>
                  <w:vAlign w:val="center"/>
                </w:tcPr>
                <w:p>
                  <w:pPr>
                    <w:spacing w:line="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COD</w:t>
                  </w:r>
                </w:p>
              </w:tc>
              <w:tc>
                <w:tcPr>
                  <w:tcW w:w="2996"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0.173</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633" w:type="pct"/>
                  <w:tcBorders>
                    <w:tl2br w:val="nil"/>
                    <w:tr2bl w:val="nil"/>
                  </w:tcBorders>
                  <w:vAlign w:val="center"/>
                </w:tcPr>
                <w:p>
                  <w:pPr>
                    <w:spacing w:line="0" w:lineRule="atLeast"/>
                    <w:ind w:firstLine="0" w:firstLineChars="0"/>
                    <w:jc w:val="center"/>
                    <w:rPr>
                      <w:rFonts w:hint="default" w:ascii="Times New Roman" w:hAnsi="Times New Roman" w:eastAsia="宋体" w:cs="Times New Roman"/>
                      <w:color w:val="auto"/>
                      <w:sz w:val="21"/>
                      <w:szCs w:val="21"/>
                      <w:highlight w:val="none"/>
                      <w:lang w:val="zh-CN"/>
                    </w:rPr>
                  </w:pPr>
                  <w:r>
                    <w:rPr>
                      <w:rFonts w:hint="eastAsia" w:cs="Times New Roman"/>
                      <w:color w:val="auto"/>
                      <w:sz w:val="21"/>
                      <w:szCs w:val="21"/>
                      <w:highlight w:val="none"/>
                      <w:lang w:val="zh-CN"/>
                    </w:rPr>
                    <w:t>氨氮</w:t>
                  </w:r>
                </w:p>
              </w:tc>
              <w:tc>
                <w:tcPr>
                  <w:tcW w:w="2996" w:type="dxa"/>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0.013</w:t>
                  </w:r>
                </w:p>
              </w:tc>
              <w:tc>
                <w:tcPr>
                  <w:tcW w:w="1581" w:type="pct"/>
                  <w:tcBorders>
                    <w:tl2br w:val="nil"/>
                    <w:tr2bl w:val="nil"/>
                  </w:tcBorders>
                  <w:vAlign w:val="center"/>
                </w:tcPr>
                <w:p>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0.042</w:t>
                  </w:r>
                </w:p>
              </w:tc>
            </w:tr>
          </w:tbl>
          <w:p>
            <w:pPr>
              <w:contextualSpacing/>
              <w:rPr>
                <w:rFonts w:hint="default" w:ascii="Times New Roman" w:hAnsi="Times New Roman" w:cs="Times New Roman"/>
                <w:color w:val="auto"/>
                <w:kern w:val="0"/>
                <w:szCs w:val="21"/>
              </w:rPr>
            </w:pPr>
          </w:p>
        </w:tc>
      </w:tr>
    </w:tbl>
    <w:p>
      <w:pPr>
        <w:rPr>
          <w:rFonts w:hint="default" w:ascii="Times New Roman" w:hAnsi="Times New Roman" w:eastAsia="黑体" w:cs="Times New Roman"/>
          <w:snapToGrid w:val="0"/>
          <w:color w:val="auto"/>
          <w:sz w:val="30"/>
          <w:szCs w:val="30"/>
          <w:lang w:val="en-US" w:eastAsia="zh-CN"/>
        </w:rPr>
      </w:pPr>
      <w:bookmarkStart w:id="18" w:name="_Toc68775755"/>
      <w:r>
        <w:rPr>
          <w:rFonts w:hint="default" w:ascii="Times New Roman" w:hAnsi="Times New Roman" w:eastAsia="黑体" w:cs="Times New Roman"/>
          <w:snapToGrid w:val="0"/>
          <w:color w:val="auto"/>
          <w:sz w:val="30"/>
          <w:szCs w:val="30"/>
          <w:lang w:val="en-US" w:eastAsia="zh-CN"/>
        </w:rPr>
        <w:br w:type="page"/>
      </w:r>
    </w:p>
    <w:p>
      <w:pPr>
        <w:pStyle w:val="2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四、主要环境影响和保护措施</w:t>
      </w:r>
      <w:bookmarkEnd w:id="18"/>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5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68" w:type="dxa"/>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施工期环境保护措施</w:t>
            </w:r>
          </w:p>
        </w:tc>
        <w:tc>
          <w:tcPr>
            <w:tcW w:w="8513" w:type="dxa"/>
            <w:vAlign w:val="center"/>
          </w:tcPr>
          <w:p>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一、施工期大气污染防治措施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为使施工过程中产生的粉尘和废气对周围环境空气的影响降低</w:t>
            </w:r>
            <w:r>
              <w:rPr>
                <w:rFonts w:hint="eastAsia" w:cs="Times New Roman"/>
                <w:b w:val="0"/>
                <w:bCs w:val="0"/>
                <w:color w:val="auto"/>
                <w:sz w:val="24"/>
                <w:szCs w:val="24"/>
                <w:highlight w:val="none"/>
                <w:lang w:val="en-US" w:eastAsia="zh-CN"/>
              </w:rPr>
              <w:t>到最低程度</w:t>
            </w:r>
            <w:r>
              <w:rPr>
                <w:rFonts w:hint="default" w:ascii="Times New Roman" w:hAnsi="Times New Roman" w:eastAsia="宋体" w:cs="Times New Roman"/>
                <w:b w:val="0"/>
                <w:bCs w:val="0"/>
                <w:color w:val="auto"/>
                <w:sz w:val="24"/>
                <w:szCs w:val="24"/>
                <w:highlight w:val="none"/>
                <w:lang w:val="en-US" w:eastAsia="zh-CN"/>
              </w:rPr>
              <w:t>，建议采取以下防护措施：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在施工作业现场设置围挡。容易产生粉尘的施工过程应洒水作业，使作业面保持一定的湿度；对施工场地内松散、干涸的表土也应经常洒水防止粉尘、扬尘；填土方时首先剥离表土，妥善保管。回填土方时，在表层土质干燥时应适当洒水，防止粉尘飞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②加强回填土方堆放场的管理，要制定土方表面压实、定期喷水、覆盖等措施；不需要的泥土，建筑材料弃渣应及时运走，不宜长时间堆积；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③应使用预拌混凝土，粉性物料采取封闭、遮盖等措施。运输车辆装载不宜过满，保证运输过程中不散落；并规划好运输车辆的运行路线与时间，尽量避免在繁华区、交通集中区和居民区等敏感区行驶；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④运输车辆加蓬盖，且出装、卸场地前应先冲洗干净，减少车轮、底盘等携带泥土散落路面；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⑤对运输过程中散落在路面上的泥土要及时清扫，以减少运行过程中的扬尘；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⑥施工过程中，应严禁将废弃的建筑材料作为燃料燃烧；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⑦施工结束时，应及时对施工占用场地恢复地面道路及植被。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经上述治理后，施工期产生的粉尘、扬尘对环境空气及敏感点的影响较小。满足《大气污染物综合排放标准》（GB16297-1996）表2中无组织排放标准要求。</w:t>
            </w:r>
          </w:p>
          <w:p>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二、施工期废水防治措施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施工期的装修、材料冲洗以及使用的挖掘机械、运输机械和其他辅助机械，在作业和维护时有可能发生油料外溢、渗漏，通过雨水冲刷等途径，流入受纳水体使受纳水体SS、COD、油类含量增高，DO下降，会引起水体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施工废水经过沉淀池处理后用于施工场地压尘，禁止散排，对环境影响很小。施工期施工人员的生活污水排入防渗旱厕，定期清掏。经过这些措施，本工程施工期对地表水环境的影响将大大减小。</w:t>
            </w:r>
          </w:p>
          <w:p>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三、施工期噪声防治措施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期噪声主要来源于施工机械噪声和运输车辆噪声。根据《建筑施工场界环境噪声排放标准》（GB12523-2011）的规定，施工噪声控制在昼间70dB（A），夜间控制在55dB（A）。根据调查本项目的主要噪声源如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为减轻施工噪声对周围环境的影响，工程拟采取如下具体措施：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（1）选用低噪声机械、设备是从声源上对噪声进行控制，淘汰高噪声施工机械， 推广使用低噪声的施工机械，产生噪声的施工设备加强维护和维修工作，对控制施工噪声的影响很有效，如液压机械较燃油机械平稳，噪声低 10dB（A）以上。夜间 22 时至次日 6 时禁止施工。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（2）合理布置施工现场，尽量将高噪声机械布置在远离</w:t>
            </w:r>
            <w:r>
              <w:rPr>
                <w:rFonts w:hint="eastAsia" w:cs="Times New Roman"/>
                <w:b w:val="0"/>
                <w:bCs w:val="0"/>
                <w:color w:val="auto"/>
                <w:sz w:val="24"/>
                <w:szCs w:val="24"/>
                <w:highlight w:val="none"/>
                <w:lang w:val="en-US" w:eastAsia="zh-CN"/>
              </w:rPr>
              <w:t>厂界</w:t>
            </w:r>
            <w:r>
              <w:rPr>
                <w:rFonts w:hint="default" w:ascii="Times New Roman" w:hAnsi="Times New Roman" w:eastAsia="宋体" w:cs="Times New Roman"/>
                <w:b w:val="0"/>
                <w:bCs w:val="0"/>
                <w:color w:val="auto"/>
                <w:sz w:val="24"/>
                <w:szCs w:val="24"/>
                <w:highlight w:val="none"/>
                <w:lang w:val="en-US" w:eastAsia="zh-CN"/>
              </w:rPr>
              <w:t>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（3）施工单位加强施工期的管理，选用低噪声设备，高噪声设备设置隔声罩或消声装置。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（4）运输车辆经过场界周围环境敏感目标时，减速缓行，禁止鸣笛，夜间（22:00~6:00）停运。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在严格落实以上噪声防治措施的前提下，本项目施工期噪声不会对周围环境造成明显影响，可满足《建筑施工场界环境噪声排放标准》（GB12523-2011）要求，对声环境影响较小。</w:t>
            </w:r>
          </w:p>
          <w:p>
            <w:pPr>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四、施工期固体废物防治措施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固体废物包括建筑垃圾和生活垃圾。建筑垃圾主要是施工过程产生的各种废装修建筑材料，生活垃圾主要是施工人员废弃物品。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建筑垃圾应分类收集，其中可以回收利用的出售综合利用，节约资源；不可利用建筑垃圾外运到有关部门指定的建筑固废倾倒场，不得随意堆放；施工人员生活垃圾集中收集，由市政环卫部门统一清运。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val="0"/>
                <w:bCs w:val="0"/>
                <w:color w:val="auto"/>
                <w:sz w:val="24"/>
                <w:szCs w:val="24"/>
                <w:highlight w:val="none"/>
                <w:lang w:val="en-US" w:eastAsia="zh-CN"/>
              </w:rPr>
              <w:t>综上所述，施工期间对环境会产生一些不利影响。由于施工期较短，施工期对环境所产生的不利影响随着施工的结束而消除。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31" w:hRule="atLeast"/>
          <w:jc w:val="center"/>
        </w:trPr>
        <w:tc>
          <w:tcPr>
            <w:tcW w:w="468" w:type="dxa"/>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运营期环境影响和保护措施</w:t>
            </w:r>
          </w:p>
        </w:tc>
        <w:tc>
          <w:tcPr>
            <w:tcW w:w="8513" w:type="dxa"/>
            <w:vAlign w:val="center"/>
          </w:tcPr>
          <w:p>
            <w:pPr>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1.1 正常工况废气产生及排放情况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本项目运营期产生的废气主要为锅炉烟气，污染物为颗粒物、SO</w:t>
            </w:r>
            <w:r>
              <w:rPr>
                <w:rFonts w:hint="default" w:ascii="Times New Roman" w:hAnsi="Times New Roman" w:cs="Times New Roman"/>
                <w:b w:val="0"/>
                <w:bCs w:val="0"/>
                <w:sz w:val="24"/>
                <w:szCs w:val="24"/>
                <w:vertAlign w:val="subscript"/>
                <w:lang w:val="en-US" w:eastAsia="zh-CN"/>
              </w:rPr>
              <w:t>2</w:t>
            </w:r>
            <w:r>
              <w:rPr>
                <w:rFonts w:hint="default" w:ascii="Times New Roman" w:hAnsi="Times New Roman" w:cs="Times New Roman"/>
                <w:b w:val="0"/>
                <w:bCs w:val="0"/>
                <w:sz w:val="24"/>
                <w:szCs w:val="24"/>
                <w:lang w:val="en-US" w:eastAsia="zh-CN"/>
              </w:rPr>
              <w:t>、NOx；</w:t>
            </w:r>
            <w:r>
              <w:rPr>
                <w:rFonts w:hint="default" w:ascii="Times New Roman" w:hAnsi="Times New Roman" w:cs="Times New Roman"/>
                <w:b w:val="0"/>
                <w:bCs w:val="0"/>
                <w:sz w:val="24"/>
                <w:szCs w:val="24"/>
                <w:lang w:eastAsia="zh-CN"/>
              </w:rPr>
              <w:t>高温杀菌工序异味，</w:t>
            </w:r>
            <w:r>
              <w:rPr>
                <w:rFonts w:hint="default" w:ascii="Times New Roman" w:hAnsi="Times New Roman" w:cs="Times New Roman"/>
                <w:b w:val="0"/>
                <w:bCs w:val="0"/>
                <w:sz w:val="24"/>
                <w:szCs w:val="24"/>
                <w:lang w:val="en-US" w:eastAsia="zh-CN"/>
              </w:rPr>
              <w:t>污染物为臭气浓度；</w:t>
            </w:r>
            <w:r>
              <w:rPr>
                <w:rFonts w:hint="default" w:ascii="Times New Roman" w:hAnsi="Times New Roman" w:cs="Times New Roman"/>
                <w:b w:val="0"/>
                <w:bCs w:val="0"/>
                <w:sz w:val="24"/>
                <w:szCs w:val="24"/>
                <w:lang w:eastAsia="zh-CN"/>
              </w:rPr>
              <w:t>灰渣储存产生的粉尘，</w:t>
            </w:r>
            <w:r>
              <w:rPr>
                <w:rFonts w:hint="default" w:ascii="Times New Roman" w:hAnsi="Times New Roman" w:cs="Times New Roman"/>
                <w:b w:val="0"/>
                <w:bCs w:val="0"/>
                <w:sz w:val="24"/>
                <w:szCs w:val="24"/>
                <w:lang w:val="en-US" w:eastAsia="zh-CN"/>
              </w:rPr>
              <w:t>污染物为颗粒物；</w:t>
            </w:r>
            <w:r>
              <w:rPr>
                <w:rFonts w:hint="default" w:ascii="Times New Roman" w:hAnsi="Times New Roman" w:cs="Times New Roman"/>
                <w:b w:val="0"/>
                <w:bCs w:val="0"/>
                <w:sz w:val="24"/>
                <w:szCs w:val="24"/>
                <w:lang w:eastAsia="zh-CN"/>
              </w:rPr>
              <w:t>食堂油烟</w:t>
            </w:r>
            <w:r>
              <w:rPr>
                <w:rFonts w:hint="eastAsia" w:ascii="Times New Roman" w:hAnsi="Times New Roman" w:cs="Times New Roman"/>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lang w:eastAsia="zh-CN"/>
              </w:rPr>
            </w:pPr>
            <w:r>
              <w:rPr>
                <w:rFonts w:hint="default" w:ascii="Times New Roman" w:hAnsi="Times New Roman" w:cs="Times New Roman"/>
                <w:b w:val="0"/>
                <w:bCs w:val="0"/>
                <w:sz w:val="24"/>
                <w:szCs w:val="24"/>
                <w:lang w:val="en-US" w:eastAsia="zh-CN"/>
              </w:rPr>
              <w:t>废气</w:t>
            </w:r>
            <w:r>
              <w:rPr>
                <w:rFonts w:hint="default" w:ascii="Times New Roman" w:hAnsi="Times New Roman" w:cs="Times New Roman"/>
                <w:b w:val="0"/>
                <w:bCs w:val="0"/>
                <w:sz w:val="24"/>
                <w:szCs w:val="24"/>
                <w:lang w:eastAsia="zh-CN"/>
              </w:rPr>
              <w:t>产生及排放情况见表4-</w:t>
            </w:r>
            <w:r>
              <w:rPr>
                <w:rFonts w:hint="eastAsia"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lang w:eastAsia="zh-CN"/>
              </w:rPr>
              <w:t>。</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w:t>
            </w:r>
            <w:r>
              <w:rPr>
                <w:rFonts w:hint="eastAsia" w:ascii="Times New Roman" w:hAnsi="Times New Roman" w:cs="Times New Roman" w:eastAsiaTheme="minorEastAsia"/>
                <w:b/>
                <w:bCs/>
                <w:color w:val="auto"/>
                <w:sz w:val="21"/>
                <w:szCs w:val="24"/>
                <w:lang w:val="en-US" w:eastAsia="zh-CN"/>
              </w:rPr>
              <w:t>1</w:t>
            </w:r>
            <w:r>
              <w:rPr>
                <w:rFonts w:hint="default" w:ascii="Times New Roman" w:hAnsi="Times New Roman" w:cs="Times New Roman" w:eastAsiaTheme="minorEastAsia"/>
                <w:b/>
                <w:bCs/>
                <w:color w:val="auto"/>
                <w:sz w:val="21"/>
                <w:szCs w:val="24"/>
                <w:lang w:val="en-US" w:eastAsia="zh-CN"/>
              </w:rPr>
              <w:t xml:space="preserve"> 锅炉烟气产生及排放情况一览表</w:t>
            </w:r>
          </w:p>
          <w:tbl>
            <w:tblPr>
              <w:tblStyle w:val="32"/>
              <w:tblW w:w="499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1"/>
              <w:gridCol w:w="506"/>
              <w:gridCol w:w="703"/>
              <w:gridCol w:w="703"/>
              <w:gridCol w:w="705"/>
              <w:gridCol w:w="514"/>
              <w:gridCol w:w="361"/>
              <w:gridCol w:w="754"/>
              <w:gridCol w:w="361"/>
              <w:gridCol w:w="627"/>
              <w:gridCol w:w="703"/>
              <w:gridCol w:w="705"/>
              <w:gridCol w:w="665"/>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jc w:val="center"/>
              </w:trPr>
              <w:tc>
                <w:tcPr>
                  <w:tcW w:w="2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产排污环节</w:t>
                  </w:r>
                </w:p>
              </w:tc>
              <w:tc>
                <w:tcPr>
                  <w:tcW w:w="30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污</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染</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物</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种</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类</w:t>
                  </w:r>
                </w:p>
              </w:tc>
              <w:tc>
                <w:tcPr>
                  <w:tcW w:w="1274"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产生情况</w:t>
                  </w:r>
                </w:p>
              </w:tc>
              <w:tc>
                <w:tcPr>
                  <w:tcW w:w="31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2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放</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形</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式</w:t>
                  </w:r>
                </w:p>
              </w:tc>
              <w:tc>
                <w:tcPr>
                  <w:tcW w:w="673"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治理设施</w:t>
                  </w:r>
                </w:p>
              </w:tc>
              <w:tc>
                <w:tcPr>
                  <w:tcW w:w="1228"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排放情况</w:t>
                  </w:r>
                </w:p>
              </w:tc>
              <w:tc>
                <w:tcPr>
                  <w:tcW w:w="40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排放时间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37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标准值</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排放浓度</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w:t>
                  </w:r>
                </w:p>
              </w:tc>
              <w:tc>
                <w:tcPr>
                  <w:tcW w:w="85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w:t>
                  </w:r>
                </w:p>
              </w:tc>
              <w:tc>
                <w:tcPr>
                  <w:tcW w:w="31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处理能力、收集效率、治理工艺去除率</w:t>
                  </w:r>
                </w:p>
              </w:tc>
              <w:tc>
                <w:tcPr>
                  <w:tcW w:w="217"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是否为可行</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技术</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w:t>
                  </w:r>
                </w:p>
              </w:tc>
              <w:tc>
                <w:tcPr>
                  <w:tcW w:w="85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排放量</w:t>
                  </w:r>
                </w:p>
              </w:tc>
              <w:tc>
                <w:tcPr>
                  <w:tcW w:w="40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7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kg/h</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31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kg/h</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40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7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jc w:val="center"/>
              </w:trPr>
              <w:tc>
                <w:tcPr>
                  <w:tcW w:w="2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highlight w:val="none"/>
                      <w:u w:val="none"/>
                      <w:lang w:eastAsia="zh-CN"/>
                    </w:rPr>
                  </w:pPr>
                  <w:r>
                    <w:rPr>
                      <w:rFonts w:hint="default" w:ascii="Times New Roman" w:hAnsi="Times New Roman" w:eastAsia="宋体" w:cs="Times New Roman"/>
                      <w:i w:val="0"/>
                      <w:iCs w:val="0"/>
                      <w:color w:val="auto"/>
                      <w:sz w:val="21"/>
                      <w:szCs w:val="21"/>
                      <w:highlight w:val="none"/>
                      <w:u w:val="none"/>
                      <w:lang w:val="en-US" w:eastAsia="zh-CN"/>
                    </w:rPr>
                    <w:t>锅炉</w:t>
                  </w:r>
                  <w:r>
                    <w:rPr>
                      <w:rFonts w:hint="default" w:ascii="Times New Roman" w:hAnsi="Times New Roman" w:eastAsia="宋体" w:cs="Times New Roman"/>
                      <w:i w:val="0"/>
                      <w:iCs w:val="0"/>
                      <w:color w:val="auto"/>
                      <w:sz w:val="21"/>
                      <w:szCs w:val="21"/>
                      <w:highlight w:val="none"/>
                      <w:u w:val="none"/>
                      <w:lang w:eastAsia="zh-CN"/>
                    </w:rPr>
                    <w:t>烟气</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3495</w:t>
                  </w:r>
                  <w:r>
                    <w:rPr>
                      <w:rFonts w:hint="default" w:ascii="Times New Roman" w:hAnsi="Times New Roman" w:cs="Times New Roman"/>
                      <w:i w:val="0"/>
                      <w:iCs w:val="0"/>
                      <w:color w:val="auto"/>
                      <w:kern w:val="0"/>
                      <w:sz w:val="21"/>
                      <w:szCs w:val="21"/>
                      <w:highlight w:val="none"/>
                      <w:u w:val="none"/>
                      <w:lang w:val="en-US" w:eastAsia="zh-CN" w:bidi="ar"/>
                    </w:rPr>
                    <w:t xml:space="preserve"> </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45.0</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27</w:t>
                  </w:r>
                </w:p>
              </w:tc>
              <w:tc>
                <w:tcPr>
                  <w:tcW w:w="31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12886</w:t>
                  </w:r>
                </w:p>
              </w:tc>
              <w:tc>
                <w:tcPr>
                  <w:tcW w:w="2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组</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织</w:t>
                  </w:r>
                </w:p>
              </w:tc>
              <w:tc>
                <w:tcPr>
                  <w:tcW w:w="455"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布袋</w:t>
                  </w:r>
                  <w:r>
                    <w:rPr>
                      <w:rFonts w:hint="default" w:ascii="Times New Roman" w:hAnsi="Times New Roman" w:eastAsia="宋体" w:cs="Times New Roman"/>
                      <w:i w:val="0"/>
                      <w:iCs w:val="0"/>
                      <w:color w:val="auto"/>
                      <w:kern w:val="0"/>
                      <w:sz w:val="21"/>
                      <w:szCs w:val="21"/>
                      <w:highlight w:val="none"/>
                      <w:u w:val="none"/>
                      <w:lang w:val="en-US" w:eastAsia="zh-CN" w:bidi="ar"/>
                    </w:rPr>
                    <w:t>除尘器+</w:t>
                  </w:r>
                  <w:r>
                    <w:rPr>
                      <w:rFonts w:hint="default" w:ascii="Times New Roman" w:hAnsi="Times New Roman" w:cs="Times New Roman"/>
                      <w:i w:val="0"/>
                      <w:iCs w:val="0"/>
                      <w:color w:val="auto"/>
                      <w:kern w:val="0"/>
                      <w:sz w:val="21"/>
                      <w:szCs w:val="21"/>
                      <w:highlight w:val="none"/>
                      <w:u w:val="none"/>
                      <w:lang w:val="en-US" w:eastAsia="zh-CN" w:bidi="ar"/>
                    </w:rPr>
                    <w:t>35m</w:t>
                  </w:r>
                  <w:r>
                    <w:rPr>
                      <w:rFonts w:hint="default" w:ascii="Times New Roman" w:hAnsi="Times New Roman" w:eastAsia="宋体" w:cs="Times New Roman"/>
                      <w:i w:val="0"/>
                      <w:iCs w:val="0"/>
                      <w:color w:val="auto"/>
                      <w:kern w:val="0"/>
                      <w:sz w:val="21"/>
                      <w:szCs w:val="21"/>
                      <w:highlight w:val="none"/>
                      <w:u w:val="none"/>
                      <w:lang w:val="en-US" w:eastAsia="zh-CN" w:bidi="ar"/>
                    </w:rPr>
                    <w:t>烟囱（除尘效率</w:t>
                  </w:r>
                  <w:r>
                    <w:rPr>
                      <w:rFonts w:hint="eastAsia" w:cs="Times New Roman"/>
                      <w:i w:val="0"/>
                      <w:iCs w:val="0"/>
                      <w:color w:val="auto"/>
                      <w:kern w:val="0"/>
                      <w:sz w:val="21"/>
                      <w:szCs w:val="21"/>
                      <w:highlight w:val="none"/>
                      <w:u w:val="none"/>
                      <w:lang w:val="en-US" w:eastAsia="zh-CN" w:bidi="ar"/>
                    </w:rPr>
                    <w:t>99.2%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Wingdings 2" w:cs="Times New Roman"/>
                      <w:i w:val="0"/>
                      <w:iCs w:val="0"/>
                      <w:color w:val="auto"/>
                      <w:sz w:val="21"/>
                      <w:szCs w:val="21"/>
                      <w:highlight w:val="none"/>
                      <w:u w:val="none"/>
                    </w:rPr>
                  </w:pPr>
                  <w:r>
                    <w:rPr>
                      <w:rFonts w:hint="default" w:ascii="Times New Roman" w:hAnsi="Times New Roman" w:eastAsia="Wingdings 2" w:cs="Times New Roman"/>
                      <w:i w:val="0"/>
                      <w:iCs w:val="0"/>
                      <w:color w:val="auto"/>
                      <w:kern w:val="0"/>
                      <w:sz w:val="21"/>
                      <w:szCs w:val="21"/>
                      <w:highlight w:val="none"/>
                      <w:u w:val="none"/>
                      <w:lang w:val="en-US" w:eastAsia="zh-CN" w:bidi="ar"/>
                    </w:rPr>
                    <w:t>是</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cs="Times New Roman"/>
                      <w:i w:val="0"/>
                      <w:iCs w:val="0"/>
                      <w:color w:val="auto"/>
                      <w:kern w:val="0"/>
                      <w:sz w:val="21"/>
                      <w:szCs w:val="21"/>
                      <w:highlight w:val="none"/>
                      <w:u w:val="none"/>
                      <w:lang w:val="en-US" w:eastAsia="zh-CN" w:bidi="ar"/>
                    </w:rPr>
                    <w:t>8.0</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0.36</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0.216</w:t>
                  </w:r>
                </w:p>
              </w:tc>
              <w:tc>
                <w:tcPr>
                  <w:tcW w:w="401"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600</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jc w:val="center"/>
              </w:trPr>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62.1</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0.80</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0.48</w:t>
                  </w:r>
                </w:p>
              </w:tc>
              <w:tc>
                <w:tcPr>
                  <w:tcW w:w="31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Wingdings 2" w:cs="Times New Roman"/>
                      <w:i w:val="0"/>
                      <w:iCs w:val="0"/>
                      <w:color w:val="auto"/>
                      <w:sz w:val="21"/>
                      <w:szCs w:val="21"/>
                      <w:highlight w:val="none"/>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62.1</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0.80</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0.48</w:t>
                  </w:r>
                </w:p>
              </w:tc>
              <w:tc>
                <w:tcPr>
                  <w:tcW w:w="40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180</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2.32</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1.39</w:t>
                  </w:r>
                </w:p>
              </w:tc>
              <w:tc>
                <w:tcPr>
                  <w:tcW w:w="310"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5"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217"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Wingdings 2" w:cs="Times New Roman"/>
                      <w:i w:val="0"/>
                      <w:iCs w:val="0"/>
                      <w:color w:val="auto"/>
                      <w:sz w:val="21"/>
                      <w:szCs w:val="21"/>
                      <w:highlight w:val="none"/>
                      <w:u w:val="none"/>
                    </w:rPr>
                  </w:pP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cs="Times New Roman"/>
                      <w:i w:val="0"/>
                      <w:iCs w:val="0"/>
                      <w:color w:val="auto"/>
                      <w:kern w:val="0"/>
                      <w:sz w:val="21"/>
                      <w:szCs w:val="21"/>
                      <w:highlight w:val="none"/>
                      <w:u w:val="none"/>
                      <w:lang w:val="en-US" w:eastAsia="zh-CN" w:bidi="ar"/>
                    </w:rPr>
                    <w:t>180</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2.32</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1.39</w:t>
                  </w:r>
                </w:p>
              </w:tc>
              <w:tc>
                <w:tcPr>
                  <w:tcW w:w="401"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蒸煮</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臭气浓度</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p>
                  <w:pPr>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w:t>
                  </w:r>
                </w:p>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织</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加强车间通风</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是</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0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1440</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灰渣间</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颗粒物</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0.034</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0.049</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p>
                  <w:pPr>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w:t>
                  </w:r>
                </w:p>
                <w:p>
                  <w:pPr>
                    <w:jc w:val="center"/>
                    <w:textAlignment w:val="baseline"/>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织</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洒水降尘</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是</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0.015</w:t>
                  </w:r>
                </w:p>
              </w:tc>
              <w:tc>
                <w:tcPr>
                  <w:tcW w:w="401"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1440</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p>
              </w:tc>
              <w:tc>
                <w:tcPr>
                  <w:tcW w:w="305"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油烟</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6.67</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0.04</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0.0072</w:t>
                  </w:r>
                </w:p>
              </w:tc>
              <w:tc>
                <w:tcPr>
                  <w:tcW w:w="310"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6000</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组</w:t>
                  </w:r>
                </w:p>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织</w:t>
                  </w:r>
                </w:p>
              </w:tc>
              <w:tc>
                <w:tcPr>
                  <w:tcW w:w="4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bCs/>
                      <w:color w:val="auto"/>
                      <w:sz w:val="21"/>
                      <w:szCs w:val="21"/>
                      <w:highlight w:val="none"/>
                    </w:rPr>
                    <w:t>油烟净化设施</w:t>
                  </w:r>
                  <w:r>
                    <w:rPr>
                      <w:rFonts w:hint="default" w:ascii="Times New Roman" w:hAnsi="Times New Roman" w:cs="Times New Roman"/>
                      <w:i w:val="0"/>
                      <w:iCs w:val="0"/>
                      <w:color w:val="auto"/>
                      <w:kern w:val="0"/>
                      <w:sz w:val="21"/>
                      <w:szCs w:val="21"/>
                      <w:highlight w:val="none"/>
                      <w:u w:val="none"/>
                      <w:lang w:val="en-US" w:eastAsia="zh-CN" w:bidi="ar"/>
                    </w:rPr>
                    <w:t>筒</w:t>
                  </w:r>
                  <w:r>
                    <w:rPr>
                      <w:rFonts w:hint="default" w:ascii="Times New Roman" w:hAnsi="Times New Roman" w:eastAsia="宋体" w:cs="Times New Roman"/>
                      <w:i w:val="0"/>
                      <w:iCs w:val="0"/>
                      <w:color w:val="auto"/>
                      <w:kern w:val="0"/>
                      <w:sz w:val="21"/>
                      <w:szCs w:val="21"/>
                      <w:highlight w:val="none"/>
                      <w:u w:val="none"/>
                      <w:lang w:val="en-US" w:eastAsia="zh-CN" w:bidi="ar"/>
                    </w:rPr>
                    <w:t>（效率</w:t>
                  </w:r>
                  <w:r>
                    <w:rPr>
                      <w:rFonts w:hint="default" w:ascii="Times New Roman" w:hAnsi="Times New Roman" w:cs="Times New Roman"/>
                      <w:i w:val="0"/>
                      <w:iCs w:val="0"/>
                      <w:color w:val="auto"/>
                      <w:kern w:val="0"/>
                      <w:sz w:val="21"/>
                      <w:szCs w:val="21"/>
                      <w:highlight w:val="none"/>
                      <w:u w:val="none"/>
                      <w:lang w:val="en-US" w:eastAsia="zh-CN" w:bidi="ar"/>
                    </w:rPr>
                    <w:t>75</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17"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c>
                <w:tcPr>
                  <w:tcW w:w="378"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424"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425"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0.0018</w:t>
                  </w:r>
                </w:p>
              </w:tc>
              <w:tc>
                <w:tcPr>
                  <w:tcW w:w="401"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180</w:t>
                  </w:r>
                </w:p>
              </w:tc>
              <w:tc>
                <w:tcPr>
                  <w:tcW w:w="370" w:type="pct"/>
                  <w:tcBorders>
                    <w:top w:val="single" w:color="000000" w:sz="4" w:space="0"/>
                    <w:left w:val="single" w:color="000000" w:sz="4" w:space="0"/>
                    <w:bottom w:val="single" w:color="000000" w:sz="4" w:space="0"/>
                    <w:right w:val="single" w:color="000000" w:sz="4" w:space="0"/>
                  </w:tcBorders>
                  <w:noWrap w:val="0"/>
                  <w:vAlign w:val="center"/>
                </w:tcPr>
                <w:p>
                  <w:pPr>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源强计算过程：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锅炉烟气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锅炉烟气污染物排放量核算根据《污染源源强核算技术指南 锅炉》（HJ</w:t>
            </w:r>
            <w:r>
              <w:rPr>
                <w:rFonts w:hint="default" w:ascii="Times New Roman" w:hAnsi="Times New Roman"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991-2018），本次评价烟气量、SO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val="en-US" w:eastAsia="zh-CN"/>
              </w:rPr>
              <w:t>、NOx源强计算如下：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a.烟气量计算：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720" w:firstLineChars="3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理论空气量：</w:t>
            </w:r>
            <w:r>
              <w:rPr>
                <w:rFonts w:hint="default" w:ascii="Times New Roman" w:hAnsi="Times New Roman" w:eastAsia="宋体" w:cs="Times New Roman"/>
                <w:b w:val="0"/>
                <w:bCs w:val="0"/>
                <w:color w:val="auto"/>
                <w:position w:val="-14"/>
                <w:sz w:val="24"/>
                <w:szCs w:val="24"/>
                <w:highlight w:val="none"/>
              </w:rPr>
              <w:object>
                <v:shape id="_x0000_i1025" o:spt="75" type="#_x0000_t75" style="height:19.7pt;width:249.25pt;" o:ole="t" filled="f" o:preferrelative="t" stroked="f" coordsize="21600,21600">
                  <v:path/>
                  <v:fill on="f" focussize="0,0"/>
                  <v:stroke on="f"/>
                  <v:imagedata r:id="rId13" o:title=""/>
                  <o:lock v:ext="edit" aspectratio="t"/>
                  <w10:wrap type="none"/>
                  <w10:anchorlock/>
                </v:shape>
                <o:OLEObject Type="Embed" ProgID="Equation.DSMT4" ShapeID="_x0000_i1025" DrawAspect="Content" ObjectID="_1468075725" r:id="rId12">
                  <o:LockedField>false</o:LockedField>
                </o:OLEObject>
              </w:object>
            </w:r>
          </w:p>
          <w:p>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highlight w:val="none"/>
              </w:rPr>
              <w:t>式中：</w:t>
            </w:r>
            <w:r>
              <w:rPr>
                <w:rFonts w:hint="default" w:ascii="Times New Roman" w:hAnsi="Times New Roman" w:eastAsia="宋体" w:cs="Times New Roman"/>
                <w:b w:val="0"/>
                <w:bCs w:val="0"/>
                <w:color w:val="auto"/>
                <w:sz w:val="24"/>
                <w:szCs w:val="24"/>
              </w:rPr>
              <w:t>V</w:t>
            </w:r>
            <w:r>
              <w:rPr>
                <w:rFonts w:hint="default" w:ascii="Times New Roman" w:hAnsi="Times New Roman" w:eastAsia="宋体" w:cs="Times New Roman"/>
                <w:b w:val="0"/>
                <w:bCs w:val="0"/>
                <w:color w:val="auto"/>
                <w:sz w:val="24"/>
                <w:szCs w:val="24"/>
                <w:vertAlign w:val="subscript"/>
              </w:rPr>
              <w:t>0</w:t>
            </w:r>
            <w:r>
              <w:rPr>
                <w:rFonts w:hint="default" w:ascii="Times New Roman" w:hAnsi="Times New Roman" w:eastAsia="宋体" w:cs="Times New Roman"/>
                <w:b w:val="0"/>
                <w:bCs w:val="0"/>
                <w:color w:val="auto"/>
                <w:sz w:val="24"/>
                <w:szCs w:val="24"/>
              </w:rPr>
              <w:t>——理论空气量，m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/kg；</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C</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——收到基碳的质量分数，</w:t>
            </w:r>
            <w:r>
              <w:rPr>
                <w:rFonts w:hint="default" w:ascii="Times New Roman" w:hAnsi="Times New Roman" w:cs="Times New Roman"/>
                <w:b w:val="0"/>
                <w:bCs w:val="0"/>
                <w:color w:val="auto"/>
                <w:sz w:val="24"/>
                <w:szCs w:val="24"/>
                <w:lang w:eastAsia="zh-CN"/>
              </w:rPr>
              <w:t>30.06%</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S</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——收到基硫的质量分数，</w:t>
            </w:r>
            <w:r>
              <w:rPr>
                <w:rFonts w:hint="default" w:ascii="Times New Roman" w:hAnsi="Times New Roman" w:cs="Times New Roman"/>
                <w:b w:val="0"/>
                <w:bCs w:val="0"/>
                <w:color w:val="auto"/>
                <w:sz w:val="24"/>
                <w:szCs w:val="24"/>
                <w:lang w:eastAsia="zh-CN"/>
              </w:rPr>
              <w:t>0.04%</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H</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——收到基氢的质量分数，</w:t>
            </w:r>
            <w:r>
              <w:rPr>
                <w:rFonts w:hint="default" w:ascii="Times New Roman" w:hAnsi="Times New Roman" w:cs="Times New Roman"/>
                <w:b w:val="0"/>
                <w:bCs w:val="0"/>
                <w:color w:val="auto"/>
                <w:sz w:val="24"/>
                <w:szCs w:val="24"/>
                <w:lang w:eastAsia="zh-CN"/>
              </w:rPr>
              <w:t>3.17%</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O</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——收到基氧的质量分数，</w:t>
            </w:r>
            <w:r>
              <w:rPr>
                <w:rFonts w:hint="default" w:ascii="Times New Roman" w:hAnsi="Times New Roman" w:cs="Times New Roman"/>
                <w:b w:val="0"/>
                <w:bCs w:val="0"/>
                <w:color w:val="auto"/>
                <w:sz w:val="24"/>
                <w:szCs w:val="24"/>
                <w:lang w:eastAsia="zh-CN"/>
              </w:rPr>
              <w:t>26.12%</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经计算，本项目燃料产生的理论空气量为</w:t>
            </w:r>
            <w:r>
              <w:rPr>
                <w:rFonts w:hint="default" w:ascii="Times New Roman" w:hAnsi="Times New Roman" w:cs="Times New Roman"/>
                <w:b w:val="0"/>
                <w:bCs w:val="0"/>
                <w:color w:val="auto"/>
                <w:sz w:val="24"/>
                <w:szCs w:val="24"/>
                <w:lang w:val="en-US" w:eastAsia="zh-CN"/>
              </w:rPr>
              <w:t>2.643</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/kg。</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p>
          <w:p>
            <w:pPr>
              <w:spacing w:line="360" w:lineRule="auto"/>
              <w:jc w:val="center"/>
              <w:rPr>
                <w:rFonts w:hint="default" w:ascii="Times New Roman" w:hAnsi="Times New Roman" w:cs="Times New Roman"/>
                <w:b w:val="0"/>
                <w:bCs w:val="0"/>
                <w:sz w:val="24"/>
                <w:szCs w:val="24"/>
                <w:lang w:bidi="zh-CN"/>
              </w:rPr>
            </w:pPr>
            <w:r>
              <w:rPr>
                <w:rFonts w:hint="default" w:ascii="Times New Roman" w:hAnsi="Times New Roman" w:cs="Times New Roman"/>
                <w:b w:val="0"/>
                <w:bCs w:val="0"/>
                <w:position w:val="-24"/>
                <w:sz w:val="24"/>
                <w:szCs w:val="24"/>
                <w:lang w:bidi="zh-CN"/>
              </w:rPr>
              <w:object>
                <v:shape id="_x0000_i1026" o:spt="75" type="#_x0000_t75" style="height:31pt;width:201pt;" o:ole="t" filled="f" coordsize="21600,21600">
                  <v:path/>
                  <v:fill on="f" focussize="0,0"/>
                  <v:stroke/>
                  <v:imagedata r:id="rId15" o:title=""/>
                  <o:lock v:ext="edit" aspectratio="t"/>
                  <w10:wrap type="none"/>
                  <w10:anchorlock/>
                </v:shape>
                <o:OLEObject Type="Embed" ProgID="Equation.KSEE3" ShapeID="_x0000_i1026" DrawAspect="Content" ObjectID="_1468075726" r:id="rId14">
                  <o:LockedField>false</o:LockedField>
                </o:OLEObject>
              </w:object>
            </w:r>
          </w:p>
          <w:p>
            <w:pPr>
              <w:spacing w:line="360" w:lineRule="auto"/>
              <w:jc w:val="center"/>
              <w:rPr>
                <w:rFonts w:hint="default" w:ascii="Times New Roman" w:hAnsi="Times New Roman" w:cs="Times New Roman"/>
                <w:b w:val="0"/>
                <w:bCs w:val="0"/>
                <w:sz w:val="24"/>
                <w:szCs w:val="24"/>
                <w:lang w:bidi="zh-CN"/>
              </w:rPr>
            </w:pPr>
            <w:r>
              <w:rPr>
                <w:rFonts w:hint="default" w:ascii="Times New Roman" w:hAnsi="Times New Roman" w:cs="Times New Roman"/>
                <w:b w:val="0"/>
                <w:bCs w:val="0"/>
                <w:position w:val="-24"/>
                <w:sz w:val="24"/>
                <w:szCs w:val="24"/>
                <w:lang w:bidi="zh-CN"/>
              </w:rPr>
              <w:object>
                <v:shape id="_x0000_i1027" o:spt="75" type="#_x0000_t75" style="height:31pt;width:117pt;" o:ole="t" filled="f" coordsize="21600,21600">
                  <v:path/>
                  <v:fill on="f" focussize="0,0"/>
                  <v:stroke/>
                  <v:imagedata r:id="rId17" o:title=""/>
                  <o:lock v:ext="edit" aspectratio="t"/>
                  <w10:wrap type="none"/>
                  <w10:anchorlock/>
                </v:shape>
                <o:OLEObject Type="Embed" ProgID="Equation.KSEE3" ShapeID="_x0000_i1027" DrawAspect="Content" ObjectID="_1468075727" r:id="rId16">
                  <o:LockedField>false</o:LockedField>
                </o:OLEObject>
              </w:object>
            </w:r>
          </w:p>
          <w:p>
            <w:pPr>
              <w:keepNext w:val="0"/>
              <w:keepLines w:val="0"/>
              <w:pageBreakBefore w:val="0"/>
              <w:widowControl w:val="0"/>
              <w:kinsoku/>
              <w:wordWrap/>
              <w:overflowPunct/>
              <w:topLinePunct w:val="0"/>
              <w:autoSpaceDE/>
              <w:autoSpaceDN/>
              <w:bidi w:val="0"/>
              <w:adjustRightInd/>
              <w:spacing w:line="360" w:lineRule="auto"/>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position w:val="-14"/>
                <w:sz w:val="24"/>
                <w:szCs w:val="24"/>
                <w:lang w:bidi="zh-CN"/>
              </w:rPr>
              <w:object>
                <v:shape id="_x0000_i1028" o:spt="75" type="#_x0000_t75" style="height:19pt;width:124pt;" o:ole="t" filled="f" coordsize="21600,21600">
                  <v:path/>
                  <v:fill on="f" focussize="0,0"/>
                  <v:stroke/>
                  <v:imagedata r:id="rId19" o:title=""/>
                  <o:lock v:ext="edit" aspectratio="t"/>
                  <w10:wrap type="none"/>
                  <w10:anchorlock/>
                </v:shape>
                <o:OLEObject Type="Embed" ProgID="Equation.KSEE3" ShapeID="_x0000_i1028" DrawAspect="Content" ObjectID="_1468075728"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RO2</w:t>
            </w:r>
            <w:r>
              <w:rPr>
                <w:rFonts w:hint="default" w:ascii="Times New Roman" w:hAnsi="Times New Roman" w:eastAsia="宋体" w:cs="Times New Roman"/>
                <w:b w:val="0"/>
                <w:bCs w:val="0"/>
                <w:color w:val="auto"/>
                <w:sz w:val="24"/>
                <w:szCs w:val="24"/>
                <w:highlight w:val="none"/>
              </w:rPr>
              <w:t>—烟气中二氧化碳（V</w:t>
            </w:r>
            <w:r>
              <w:rPr>
                <w:rFonts w:hint="default" w:ascii="Times New Roman" w:hAnsi="Times New Roman" w:eastAsia="宋体" w:cs="Times New Roman"/>
                <w:b w:val="0"/>
                <w:bCs w:val="0"/>
                <w:color w:val="auto"/>
                <w:sz w:val="24"/>
                <w:szCs w:val="24"/>
                <w:highlight w:val="none"/>
                <w:vertAlign w:val="subscript"/>
              </w:rPr>
              <w:t>CO2</w:t>
            </w:r>
            <w:r>
              <w:rPr>
                <w:rFonts w:hint="default" w:ascii="Times New Roman" w:hAnsi="Times New Roman" w:eastAsia="宋体" w:cs="Times New Roman"/>
                <w:b w:val="0"/>
                <w:bCs w:val="0"/>
                <w:color w:val="auto"/>
                <w:sz w:val="24"/>
                <w:szCs w:val="24"/>
                <w:highlight w:val="none"/>
              </w:rPr>
              <w:t>）和二氧化硫（V</w:t>
            </w:r>
            <w:r>
              <w:rPr>
                <w:rFonts w:hint="default" w:ascii="Times New Roman" w:hAnsi="Times New Roman" w:eastAsia="宋体" w:cs="Times New Roman"/>
                <w:b w:val="0"/>
                <w:bCs w:val="0"/>
                <w:color w:val="auto"/>
                <w:sz w:val="24"/>
                <w:szCs w:val="24"/>
                <w:highlight w:val="none"/>
                <w:vertAlign w:val="subscript"/>
              </w:rPr>
              <w:t>SO2</w:t>
            </w:r>
            <w:r>
              <w:rPr>
                <w:rFonts w:hint="default" w:ascii="Times New Roman" w:hAnsi="Times New Roman" w:eastAsia="宋体" w:cs="Times New Roman"/>
                <w:b w:val="0"/>
                <w:bCs w:val="0"/>
                <w:color w:val="auto"/>
                <w:sz w:val="24"/>
                <w:szCs w:val="24"/>
                <w:highlight w:val="none"/>
              </w:rPr>
              <w:t>）容积之和，m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C</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—收到基碳的质量分数，%</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—收到基硫的质量分数，%</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N2</w:t>
            </w:r>
            <w:r>
              <w:rPr>
                <w:rFonts w:hint="default" w:ascii="Times New Roman" w:hAnsi="Times New Roman" w:eastAsia="宋体" w:cs="Times New Roman"/>
                <w:b w:val="0"/>
                <w:bCs w:val="0"/>
                <w:color w:val="auto"/>
                <w:sz w:val="24"/>
                <w:szCs w:val="24"/>
                <w:highlight w:val="none"/>
              </w:rPr>
              <w:t>—烟气中氮气量，m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—收到基氮的质量分数，%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本次评价取</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32</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0</w:t>
            </w:r>
            <w:r>
              <w:rPr>
                <w:rFonts w:hint="default" w:ascii="Times New Roman" w:hAnsi="Times New Roman" w:eastAsia="宋体" w:cs="Times New Roman"/>
                <w:b w:val="0"/>
                <w:bCs w:val="0"/>
                <w:color w:val="auto"/>
                <w:sz w:val="24"/>
                <w:szCs w:val="24"/>
                <w:highlight w:val="none"/>
              </w:rPr>
              <w:t>—理论空气量，m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g</w:t>
            </w:r>
            <w:r>
              <w:rPr>
                <w:rFonts w:hint="default" w:ascii="Times New Roman" w:hAnsi="Times New Roman" w:eastAsia="宋体" w:cs="Times New Roman"/>
                <w:b w:val="0"/>
                <w:bCs w:val="0"/>
                <w:color w:val="auto"/>
                <w:sz w:val="24"/>
                <w:szCs w:val="24"/>
                <w:highlight w:val="none"/>
              </w:rPr>
              <w:t>—干烟气排放量，m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i/>
                <w:color w:val="auto"/>
                <w:sz w:val="24"/>
                <w:szCs w:val="24"/>
                <w:highlight w:val="none"/>
              </w:rPr>
              <w:t>α</w:t>
            </w:r>
            <w:r>
              <w:rPr>
                <w:rFonts w:hint="default" w:ascii="Times New Roman" w:hAnsi="Times New Roman" w:eastAsia="宋体" w:cs="Times New Roman"/>
                <w:b w:val="0"/>
                <w:bCs w:val="0"/>
                <w:color w:val="auto"/>
                <w:sz w:val="24"/>
                <w:szCs w:val="24"/>
                <w:highlight w:val="none"/>
              </w:rPr>
              <w:t>—过量空气系数</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1.75。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FF0000"/>
                <w:sz w:val="24"/>
                <w:szCs w:val="24"/>
                <w:highlight w:val="none"/>
                <w:lang w:eastAsia="zh-CN"/>
              </w:rPr>
            </w:pPr>
            <w:r>
              <w:rPr>
                <w:rFonts w:hint="default" w:ascii="Times New Roman" w:hAnsi="Times New Roman" w:eastAsia="宋体" w:cs="Times New Roman"/>
                <w:b w:val="0"/>
                <w:bCs w:val="0"/>
                <w:color w:val="auto"/>
                <w:sz w:val="24"/>
                <w:szCs w:val="24"/>
                <w:highlight w:val="none"/>
              </w:rPr>
              <w:t>则Vg=</w:t>
            </w:r>
            <w:r>
              <w:rPr>
                <w:rFonts w:hint="default" w:ascii="Times New Roman" w:hAnsi="Times New Roman" w:cs="Times New Roman"/>
                <w:b w:val="0"/>
                <w:bCs w:val="0"/>
                <w:color w:val="auto"/>
                <w:sz w:val="24"/>
                <w:szCs w:val="24"/>
                <w:highlight w:val="none"/>
                <w:lang w:val="en-US" w:eastAsia="zh-CN"/>
              </w:rPr>
              <w:t>4.635</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r>
              <w:rPr>
                <w:rFonts w:hint="eastAsia" w:cs="Times New Roman"/>
                <w:b w:val="0"/>
                <w:bCs w:val="0"/>
                <w:color w:val="auto"/>
                <w:sz w:val="24"/>
                <w:szCs w:val="24"/>
                <w:highlight w:val="none"/>
                <w:lang w:val="en-US" w:eastAsia="zh-CN"/>
              </w:rPr>
              <w:t>4t/h和6t/h</w:t>
            </w:r>
            <w:r>
              <w:rPr>
                <w:rFonts w:hint="default" w:ascii="Times New Roman" w:hAnsi="Times New Roman" w:cs="Times New Roman"/>
                <w:b w:val="0"/>
                <w:bCs w:val="0"/>
                <w:color w:val="auto"/>
                <w:sz w:val="24"/>
                <w:szCs w:val="24"/>
                <w:highlight w:val="none"/>
                <w:lang w:val="en-US" w:eastAsia="zh-CN"/>
              </w:rPr>
              <w:t>燃生物质蒸汽锅炉</w:t>
            </w:r>
            <w:r>
              <w:rPr>
                <w:rFonts w:hint="default" w:ascii="Times New Roman" w:hAnsi="Times New Roman" w:eastAsia="宋体" w:cs="Times New Roman"/>
                <w:b w:val="0"/>
                <w:bCs w:val="0"/>
                <w:color w:val="auto"/>
                <w:sz w:val="24"/>
                <w:szCs w:val="24"/>
                <w:highlight w:val="none"/>
              </w:rPr>
              <w:t>燃料耗量为</w:t>
            </w:r>
            <w:r>
              <w:rPr>
                <w:rFonts w:hint="eastAsia" w:cs="Times New Roman"/>
                <w:b w:val="0"/>
                <w:bCs w:val="0"/>
                <w:color w:val="auto"/>
                <w:sz w:val="24"/>
                <w:szCs w:val="24"/>
                <w:highlight w:val="none"/>
                <w:lang w:val="en-US" w:eastAsia="zh-CN"/>
              </w:rPr>
              <w:t>2.78</w:t>
            </w:r>
            <w:r>
              <w:rPr>
                <w:rFonts w:hint="default" w:ascii="Times New Roman" w:hAnsi="Times New Roman" w:eastAsia="宋体" w:cs="Times New Roman"/>
                <w:b w:val="0"/>
                <w:bCs w:val="0"/>
                <w:color w:val="auto"/>
                <w:sz w:val="24"/>
                <w:szCs w:val="24"/>
                <w:highlight w:val="none"/>
              </w:rPr>
              <w:t>t/h，</w:t>
            </w:r>
            <w:r>
              <w:rPr>
                <w:rFonts w:hint="eastAsia" w:cs="Times New Roman"/>
                <w:b w:val="0"/>
                <w:bCs w:val="0"/>
                <w:color w:val="auto"/>
                <w:sz w:val="24"/>
                <w:szCs w:val="24"/>
                <w:highlight w:val="none"/>
                <w:lang w:val="en-US" w:eastAsia="zh-CN"/>
              </w:rPr>
              <w:t>1665</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val="en-US" w:eastAsia="zh-CN"/>
              </w:rPr>
              <w:t>则烟气量为</w:t>
            </w:r>
            <w:r>
              <w:rPr>
                <w:rFonts w:hint="eastAsia" w:cs="Times New Roman"/>
                <w:b w:val="0"/>
                <w:bCs w:val="0"/>
                <w:color w:val="auto"/>
                <w:sz w:val="24"/>
                <w:szCs w:val="24"/>
                <w:highlight w:val="none"/>
                <w:lang w:val="en-US" w:eastAsia="zh-CN"/>
              </w:rPr>
              <w:t>12886</w:t>
            </w:r>
            <w:r>
              <w:rPr>
                <w:rFonts w:hint="default" w:ascii="Times New Roman" w:hAnsi="Times New Roman" w:eastAsia="宋体" w:cs="Times New Roman"/>
                <w:b w:val="0"/>
                <w:bCs w:val="0"/>
                <w:color w:val="auto"/>
                <w:sz w:val="24"/>
                <w:szCs w:val="24"/>
                <w:highlight w:val="none"/>
              </w:rPr>
              <w:t>Nm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/h</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b</w:t>
            </w:r>
            <w:r>
              <w:rPr>
                <w:rFonts w:hint="default" w:ascii="Times New Roman" w:hAnsi="Times New Roman" w:eastAsia="宋体" w:cs="Times New Roman"/>
                <w:b w:val="0"/>
                <w:bCs w:val="0"/>
                <w:color w:val="auto"/>
                <w:sz w:val="24"/>
                <w:szCs w:val="24"/>
                <w:highlight w:val="none"/>
              </w:rPr>
              <w:t>、烟尘</w:t>
            </w:r>
            <w:r>
              <w:rPr>
                <w:rFonts w:hint="default" w:ascii="Times New Roman" w:hAnsi="Times New Roman" w:eastAsia="宋体" w:cs="Times New Roman"/>
                <w:b w:val="0"/>
                <w:bCs w:val="0"/>
                <w:color w:val="auto"/>
                <w:sz w:val="24"/>
                <w:szCs w:val="24"/>
                <w:highlight w:val="none"/>
                <w:lang w:val="en-US" w:eastAsia="zh-CN"/>
              </w:rPr>
              <w:t>排放量计算公式</w:t>
            </w:r>
          </w:p>
          <w:p>
            <w:pPr>
              <w:pStyle w:val="39"/>
              <w:keepNext w:val="0"/>
              <w:keepLines w:val="0"/>
              <w:pageBreakBefore w:val="0"/>
              <w:widowControl w:val="0"/>
              <w:kinsoku/>
              <w:wordWrap/>
              <w:overflowPunct/>
              <w:topLinePunct w:val="0"/>
              <w:autoSpaceDE/>
              <w:autoSpaceDN/>
              <w:bidi w:val="0"/>
              <w:adjustRightInd/>
              <w:spacing w:line="360" w:lineRule="auto"/>
              <w:ind w:left="0" w:leftChars="0" w:firstLine="0" w:firstLineChars="0"/>
              <w:jc w:val="center"/>
              <w:rPr>
                <w:rFonts w:hint="default" w:ascii="Times New Roman" w:hAnsi="Times New Roman" w:cs="Times New Roman"/>
                <w:b w:val="0"/>
                <w:bCs w:val="0"/>
                <w:snapToGrid w:val="0"/>
                <w:color w:val="FF0000"/>
                <w:kern w:val="0"/>
                <w:position w:val="-30"/>
                <w:sz w:val="24"/>
                <w:szCs w:val="24"/>
                <w:highlight w:val="none"/>
              </w:rPr>
            </w:pPr>
            <w:r>
              <w:rPr>
                <w:rFonts w:hint="default" w:ascii="Times New Roman" w:hAnsi="Times New Roman" w:cs="Times New Roman"/>
                <w:b w:val="0"/>
                <w:bCs w:val="0"/>
                <w:color w:val="FF0000"/>
                <w:sz w:val="24"/>
                <w:szCs w:val="24"/>
                <w:highlight w:val="none"/>
              </w:rPr>
              <w:drawing>
                <wp:inline distT="0" distB="0" distL="114300" distR="114300">
                  <wp:extent cx="1866265" cy="683895"/>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1866265" cy="6838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position w:val="-10"/>
                <w:sz w:val="24"/>
                <w:szCs w:val="24"/>
                <w:highlight w:val="none"/>
              </w:rPr>
              <w:t>式中：</w:t>
            </w:r>
            <w:r>
              <w:rPr>
                <w:rFonts w:hint="default" w:ascii="Times New Roman" w:hAnsi="Times New Roman" w:eastAsia="宋体" w:cs="Times New Roman"/>
                <w:b w:val="0"/>
                <w:bCs w:val="0"/>
                <w:color w:val="auto"/>
                <w:position w:val="-10"/>
                <w:sz w:val="24"/>
                <w:szCs w:val="24"/>
                <w:highlight w:val="none"/>
                <w:lang w:val="en-US" w:eastAsia="zh-CN"/>
              </w:rPr>
              <w:t>E</w:t>
            </w:r>
            <w:r>
              <w:rPr>
                <w:rFonts w:hint="default" w:ascii="Times New Roman" w:hAnsi="Times New Roman" w:eastAsia="宋体" w:cs="Times New Roman"/>
                <w:b w:val="0"/>
                <w:bCs w:val="0"/>
                <w:color w:val="auto"/>
                <w:position w:val="-10"/>
                <w:sz w:val="24"/>
                <w:szCs w:val="24"/>
                <w:highlight w:val="none"/>
                <w:vertAlign w:val="subscript"/>
                <w:lang w:val="en-US" w:eastAsia="zh-CN"/>
              </w:rPr>
              <w: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核算时段内颗粒物（烟尘）排放量，t/h；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rPr>
            </w:pPr>
            <w:r>
              <w:rPr>
                <w:rFonts w:hint="default" w:ascii="Times New Roman" w:hAnsi="Times New Roman" w:eastAsia="宋体" w:cs="Times New Roman"/>
                <w:b w:val="0"/>
                <w:bCs w:val="0"/>
                <w:color w:val="auto"/>
                <w:position w:val="-4"/>
                <w:sz w:val="24"/>
                <w:szCs w:val="24"/>
                <w:highlight w:val="none"/>
                <w:lang w:val="en-US" w:eastAsia="zh-CN"/>
              </w:rPr>
              <w:t>R</w:t>
            </w:r>
            <w:r>
              <w:rPr>
                <w:rFonts w:hint="default" w:ascii="Times New Roman" w:hAnsi="Times New Roman" w:eastAsia="宋体" w:cs="Times New Roman"/>
                <w:b w:val="0"/>
                <w:bCs w:val="0"/>
                <w:color w:val="auto"/>
                <w:position w:val="-4"/>
                <w:sz w:val="24"/>
                <w:szCs w:val="24"/>
                <w:highlight w:val="none"/>
              </w:rPr>
              <w:t>—</w:t>
            </w:r>
            <w:r>
              <w:rPr>
                <w:rFonts w:hint="default" w:ascii="Times New Roman" w:hAnsi="Times New Roman" w:eastAsia="宋体" w:cs="Times New Roman"/>
                <w:b w:val="0"/>
                <w:bCs w:val="0"/>
                <w:color w:val="auto"/>
                <w:position w:val="-4"/>
                <w:sz w:val="24"/>
                <w:szCs w:val="24"/>
                <w:highlight w:val="none"/>
                <w:lang w:val="en-US" w:eastAsia="zh-CN"/>
              </w:rPr>
              <w:t>核算时段内</w:t>
            </w:r>
            <w:r>
              <w:rPr>
                <w:rFonts w:hint="default" w:ascii="Times New Roman" w:hAnsi="Times New Roman" w:eastAsia="宋体" w:cs="Times New Roman"/>
                <w:b w:val="0"/>
                <w:bCs w:val="0"/>
                <w:color w:val="auto"/>
                <w:position w:val="-4"/>
                <w:sz w:val="24"/>
                <w:szCs w:val="24"/>
                <w:highlight w:val="none"/>
              </w:rPr>
              <w:t>锅炉燃料耗量，t/h；</w:t>
            </w:r>
          </w:p>
          <w:p>
            <w:pPr>
              <w:keepNext w:val="0"/>
              <w:keepLines w:val="0"/>
              <w:widowControl/>
              <w:suppressLineNumbers w:val="0"/>
              <w:spacing w:line="360" w:lineRule="auto"/>
              <w:ind w:firstLine="1200" w:firstLineChars="500"/>
              <w:jc w:val="left"/>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position w:val="-4"/>
                <w:sz w:val="24"/>
                <w:szCs w:val="24"/>
                <w:highlight w:val="none"/>
              </w:rPr>
              <w:object>
                <v:shape id="_x0000_i1029" o:spt="75" type="#_x0000_t75" style="height:12.9pt;width:18.35pt;" o:ole="t" filled="f" o:preferrelative="t" stroked="f" coordsize="21600,21600">
                  <v:path/>
                  <v:fill on="f" focussize="0,0"/>
                  <v:stroke on="f"/>
                  <v:imagedata r:id="rId22" o:title=""/>
                  <o:lock v:ext="edit" aspectratio="t"/>
                  <w10:wrap type="none"/>
                  <w10:anchorlock/>
                </v:shape>
                <o:OLEObject Type="Embed" ProgID="Equation.3" ShapeID="_x0000_i1029" DrawAspect="Content" ObjectID="_1468075729" r:id="rId21">
                  <o:LockedField>false</o:LockedField>
                </o:OLEObject>
              </w:object>
            </w:r>
            <w:r>
              <w:rPr>
                <w:rFonts w:hint="default" w:ascii="Times New Roman" w:hAnsi="Times New Roman" w:eastAsia="宋体" w:cs="Times New Roman"/>
                <w:b w:val="0"/>
                <w:bCs w:val="0"/>
                <w:color w:val="auto"/>
                <w:sz w:val="24"/>
                <w:szCs w:val="24"/>
                <w:highlight w:val="none"/>
              </w:rPr>
              <w:t>—燃料收到基灰分</w:t>
            </w:r>
            <w:r>
              <w:rPr>
                <w:rFonts w:hint="default" w:ascii="Times New Roman" w:hAnsi="Times New Roman" w:eastAsia="宋体" w:cs="Times New Roman"/>
                <w:b w:val="0"/>
                <w:bCs w:val="0"/>
                <w:color w:val="auto"/>
                <w:sz w:val="24"/>
                <w:szCs w:val="24"/>
                <w:highlight w:val="none"/>
                <w:lang w:val="en-US" w:eastAsia="zh-CN"/>
              </w:rPr>
              <w:t>的质量分数</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本次评价取</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i/>
                <w:iCs/>
                <w:color w:val="auto"/>
                <w:kern w:val="0"/>
                <w:sz w:val="24"/>
                <w:szCs w:val="24"/>
                <w:highlight w:val="none"/>
              </w:rPr>
              <w:t>dfh</w:t>
            </w:r>
            <w:r>
              <w:rPr>
                <w:rFonts w:hint="default" w:ascii="Times New Roman" w:hAnsi="Times New Roman" w:eastAsia="宋体" w:cs="Times New Roman"/>
                <w:b w:val="0"/>
                <w:bCs w:val="0"/>
                <w:color w:val="auto"/>
                <w:sz w:val="24"/>
                <w:szCs w:val="24"/>
                <w:highlight w:val="none"/>
              </w:rPr>
              <w:t>—锅炉烟气带出的飞灰份额，本次评价取</w:t>
            </w:r>
            <w:r>
              <w:rPr>
                <w:rFonts w:hint="default" w:ascii="Times New Roman" w:hAnsi="Times New Roman" w:cs="Times New Roman"/>
                <w:b w:val="0"/>
                <w:bCs w:val="0"/>
                <w:color w:val="auto"/>
                <w:sz w:val="24"/>
                <w:szCs w:val="24"/>
                <w:highlight w:val="none"/>
                <w:lang w:val="en-US" w:eastAsia="zh-CN"/>
              </w:rPr>
              <w:t>45</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lang w:val="en-US"/>
              </w:rPr>
            </w:pPr>
            <w:r>
              <w:rPr>
                <w:rFonts w:hint="default" w:ascii="Times New Roman" w:hAnsi="Times New Roman" w:eastAsia="宋体" w:cs="Times New Roman"/>
                <w:b w:val="0"/>
                <w:bCs w:val="0"/>
                <w:color w:val="auto"/>
                <w:position w:val="-4"/>
                <w:sz w:val="24"/>
                <w:szCs w:val="24"/>
                <w:highlight w:val="none"/>
              </w:rPr>
              <w:object>
                <v:shape id="_x0000_i1030" o:spt="75" type="#_x0000_t75" style="height:12.9pt;width:12.9pt;" o:ole="t" filled="f" o:preferrelative="t" stroked="f" coordsize="21600,21600">
                  <v:path/>
                  <v:fill on="f" focussize="0,0"/>
                  <v:stroke on="f"/>
                  <v:imagedata r:id="rId24" o:title=""/>
                  <o:lock v:ext="edit" aspectratio="t"/>
                  <w10:wrap type="none"/>
                  <w10:anchorlock/>
                </v:shape>
                <o:OLEObject Type="Embed" ProgID="Equation.3" ShapeID="_x0000_i1030" DrawAspect="Content" ObjectID="_1468075730" r:id="rId23">
                  <o:LockedField>false</o:LockedField>
                </o:OLEObject>
              </w:object>
            </w:r>
            <w:r>
              <w:rPr>
                <w:rFonts w:hint="default" w:ascii="Times New Roman" w:hAnsi="Times New Roman" w:eastAsia="宋体" w:cs="Times New Roman"/>
                <w:b w:val="0"/>
                <w:bCs w:val="0"/>
                <w:color w:val="auto"/>
                <w:position w:val="-4"/>
                <w:sz w:val="24"/>
                <w:szCs w:val="24"/>
                <w:highlight w:val="none"/>
              </w:rPr>
              <w:t>—除尘效率，%，本次评价取99</w:t>
            </w:r>
            <w:r>
              <w:rPr>
                <w:rFonts w:hint="default" w:ascii="Times New Roman" w:hAnsi="Times New Roman" w:cs="Times New Roman"/>
                <w:b w:val="0"/>
                <w:bCs w:val="0"/>
                <w:color w:val="auto"/>
                <w:position w:val="-4"/>
                <w:sz w:val="24"/>
                <w:szCs w:val="24"/>
                <w:highlight w:val="none"/>
                <w:lang w:val="en-US" w:eastAsia="zh-CN"/>
              </w:rPr>
              <w:t>.</w:t>
            </w:r>
            <w:r>
              <w:rPr>
                <w:rFonts w:hint="eastAsia" w:cs="Times New Roman"/>
                <w:b w:val="0"/>
                <w:bCs w:val="0"/>
                <w:color w:val="auto"/>
                <w:position w:val="-4"/>
                <w:sz w:val="24"/>
                <w:szCs w:val="24"/>
                <w:highlight w:val="none"/>
                <w:lang w:val="en-US" w:eastAsia="zh-CN"/>
              </w:rPr>
              <w:t>2</w:t>
            </w:r>
            <w:r>
              <w:rPr>
                <w:rFonts w:hint="default" w:ascii="Times New Roman" w:hAnsi="Times New Roman" w:cs="Times New Roman"/>
                <w:b w:val="0"/>
                <w:bCs w:val="0"/>
                <w:color w:val="auto"/>
                <w:position w:val="-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rPr>
            </w:pPr>
            <w:r>
              <w:rPr>
                <w:rFonts w:hint="default" w:ascii="Times New Roman" w:hAnsi="Times New Roman" w:eastAsia="宋体" w:cs="Times New Roman"/>
                <w:b w:val="0"/>
                <w:bCs w:val="0"/>
                <w:color w:val="auto"/>
                <w:position w:val="-4"/>
                <w:sz w:val="24"/>
                <w:szCs w:val="24"/>
                <w:highlight w:val="none"/>
              </w:rPr>
              <w:t>C</w:t>
            </w:r>
            <w:r>
              <w:rPr>
                <w:rFonts w:hint="default" w:ascii="Times New Roman" w:hAnsi="Times New Roman" w:eastAsia="宋体" w:cs="Times New Roman"/>
                <w:b w:val="0"/>
                <w:bCs w:val="0"/>
                <w:color w:val="auto"/>
                <w:position w:val="-4"/>
                <w:sz w:val="24"/>
                <w:szCs w:val="24"/>
                <w:highlight w:val="none"/>
                <w:vertAlign w:val="subscript"/>
              </w:rPr>
              <w:t>fh</w:t>
            </w:r>
            <w:r>
              <w:rPr>
                <w:rFonts w:hint="default" w:ascii="Times New Roman" w:hAnsi="Times New Roman" w:eastAsia="宋体" w:cs="Times New Roman"/>
                <w:b w:val="0"/>
                <w:bCs w:val="0"/>
                <w:color w:val="auto"/>
                <w:position w:val="-4"/>
                <w:sz w:val="24"/>
                <w:szCs w:val="24"/>
                <w:highlight w:val="none"/>
              </w:rPr>
              <w:t>—飞灰中的可燃物含量，%，</w:t>
            </w:r>
            <w:r>
              <w:rPr>
                <w:rFonts w:hint="default" w:ascii="Times New Roman" w:hAnsi="Times New Roman" w:eastAsia="宋体" w:cs="Times New Roman"/>
                <w:b w:val="0"/>
                <w:bCs w:val="0"/>
                <w:color w:val="auto"/>
                <w:sz w:val="24"/>
                <w:szCs w:val="24"/>
                <w:highlight w:val="none"/>
              </w:rPr>
              <w:t>本次评价取</w:t>
            </w:r>
            <w:r>
              <w:rPr>
                <w:rFonts w:hint="default" w:ascii="Times New Roman" w:hAnsi="Times New Roman"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position w:val="-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本项目</w:t>
            </w:r>
            <w:r>
              <w:rPr>
                <w:rFonts w:hint="default" w:ascii="Times New Roman" w:hAnsi="Times New Roman" w:cs="Times New Roman"/>
                <w:b w:val="0"/>
                <w:bCs w:val="0"/>
                <w:color w:val="auto"/>
                <w:sz w:val="24"/>
                <w:szCs w:val="24"/>
                <w:highlight w:val="none"/>
                <w:lang w:val="en-US" w:eastAsia="zh-CN"/>
              </w:rPr>
              <w:t>鲜食玉米和速冻玉米的年运行时间为600h。</w:t>
            </w:r>
            <w:r>
              <w:rPr>
                <w:rFonts w:hint="eastAsia" w:cs="Times New Roman"/>
                <w:b w:val="0"/>
                <w:bCs w:val="0"/>
                <w:color w:val="auto"/>
                <w:sz w:val="24"/>
                <w:szCs w:val="24"/>
                <w:highlight w:val="none"/>
                <w:lang w:val="en-US" w:eastAsia="zh-CN"/>
              </w:rPr>
              <w:t>4t/h和6t/h</w:t>
            </w:r>
            <w:r>
              <w:rPr>
                <w:rFonts w:hint="default" w:ascii="Times New Roman" w:hAnsi="Times New Roman" w:cs="Times New Roman"/>
                <w:b w:val="0"/>
                <w:bCs w:val="0"/>
                <w:color w:val="auto"/>
                <w:sz w:val="24"/>
                <w:szCs w:val="24"/>
                <w:highlight w:val="none"/>
                <w:lang w:val="en-US" w:eastAsia="zh-CN"/>
              </w:rPr>
              <w:t>燃生物质蒸汽锅炉燃料耗量为</w:t>
            </w:r>
            <w:r>
              <w:rPr>
                <w:rFonts w:hint="eastAsia" w:cs="Times New Roman"/>
                <w:b w:val="0"/>
                <w:bCs w:val="0"/>
                <w:color w:val="auto"/>
                <w:sz w:val="24"/>
                <w:szCs w:val="24"/>
                <w:highlight w:val="none"/>
                <w:lang w:val="en-US" w:eastAsia="zh-CN"/>
              </w:rPr>
              <w:t>2.78</w:t>
            </w:r>
            <w:r>
              <w:rPr>
                <w:rFonts w:hint="default" w:ascii="Times New Roman" w:hAnsi="Times New Roman" w:cs="Times New Roman"/>
                <w:b w:val="0"/>
                <w:bCs w:val="0"/>
                <w:color w:val="auto"/>
                <w:sz w:val="24"/>
                <w:szCs w:val="24"/>
                <w:highlight w:val="none"/>
                <w:lang w:val="en-US" w:eastAsia="zh-CN"/>
              </w:rPr>
              <w:t>t/h，</w:t>
            </w:r>
            <w:r>
              <w:rPr>
                <w:rFonts w:hint="eastAsia" w:cs="Times New Roman"/>
                <w:b w:val="0"/>
                <w:bCs w:val="0"/>
                <w:color w:val="auto"/>
                <w:sz w:val="24"/>
                <w:szCs w:val="24"/>
                <w:highlight w:val="none"/>
                <w:lang w:val="en-US" w:eastAsia="zh-CN"/>
              </w:rPr>
              <w:t>1665</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rPr>
              <w:t>，则烟尘产生量为</w:t>
            </w:r>
            <w:r>
              <w:rPr>
                <w:rFonts w:hint="eastAsia" w:cs="Times New Roman"/>
                <w:b w:val="0"/>
                <w:bCs w:val="0"/>
                <w:color w:val="auto"/>
                <w:sz w:val="24"/>
                <w:szCs w:val="24"/>
                <w:highlight w:val="none"/>
                <w:lang w:val="en-US" w:eastAsia="zh-CN"/>
              </w:rPr>
              <w:t>45.0</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eastAsia="宋体" w:cs="Times New Roman"/>
                <w:b w:val="0"/>
                <w:bCs w:val="0"/>
                <w:color w:val="auto"/>
                <w:sz w:val="24"/>
                <w:szCs w:val="24"/>
                <w:highlight w:val="none"/>
              </w:rPr>
              <w:t>/h，</w:t>
            </w:r>
            <w:r>
              <w:rPr>
                <w:rFonts w:hint="eastAsia" w:cs="Times New Roman"/>
                <w:b w:val="0"/>
                <w:bCs w:val="0"/>
                <w:color w:val="auto"/>
                <w:sz w:val="24"/>
                <w:szCs w:val="24"/>
                <w:highlight w:val="none"/>
                <w:lang w:val="en-US" w:eastAsia="zh-CN"/>
              </w:rPr>
              <w:t>27</w:t>
            </w:r>
            <w:r>
              <w:rPr>
                <w:rFonts w:hint="default" w:ascii="Times New Roman" w:hAnsi="Times New Roman" w:eastAsia="宋体" w:cs="Times New Roman"/>
                <w:b w:val="0"/>
                <w:bCs w:val="0"/>
                <w:color w:val="auto"/>
                <w:sz w:val="24"/>
                <w:szCs w:val="24"/>
                <w:highlight w:val="none"/>
              </w:rPr>
              <w:t>t/a，产生浓度为</w:t>
            </w:r>
            <w:r>
              <w:rPr>
                <w:rFonts w:hint="eastAsia" w:cs="Times New Roman"/>
                <w:b w:val="0"/>
                <w:bCs w:val="0"/>
                <w:color w:val="auto"/>
                <w:sz w:val="24"/>
                <w:szCs w:val="24"/>
                <w:highlight w:val="none"/>
                <w:lang w:val="en-US" w:eastAsia="zh-CN"/>
              </w:rPr>
              <w:t>3495</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；烟尘排放量为</w:t>
            </w:r>
            <w:r>
              <w:rPr>
                <w:rFonts w:hint="eastAsia" w:cs="Times New Roman"/>
                <w:b w:val="0"/>
                <w:bCs w:val="0"/>
                <w:color w:val="auto"/>
                <w:sz w:val="24"/>
                <w:szCs w:val="24"/>
                <w:highlight w:val="none"/>
                <w:lang w:val="en-US" w:eastAsia="zh-CN"/>
              </w:rPr>
              <w:t>0.36</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eastAsia="宋体" w:cs="Times New Roman"/>
                <w:b w:val="0"/>
                <w:bCs w:val="0"/>
                <w:color w:val="auto"/>
                <w:sz w:val="24"/>
                <w:szCs w:val="24"/>
                <w:highlight w:val="none"/>
              </w:rPr>
              <w:t>/h，</w:t>
            </w:r>
            <w:r>
              <w:rPr>
                <w:rFonts w:hint="eastAsia" w:cs="Times New Roman"/>
                <w:b w:val="0"/>
                <w:bCs w:val="0"/>
                <w:color w:val="auto"/>
                <w:sz w:val="24"/>
                <w:szCs w:val="24"/>
                <w:highlight w:val="none"/>
                <w:lang w:val="en-US" w:eastAsia="zh-CN"/>
              </w:rPr>
              <w:t>0.216</w:t>
            </w:r>
            <w:r>
              <w:rPr>
                <w:rFonts w:hint="default" w:ascii="Times New Roman" w:hAnsi="Times New Roman" w:eastAsia="宋体" w:cs="Times New Roman"/>
                <w:b w:val="0"/>
                <w:bCs w:val="0"/>
                <w:color w:val="auto"/>
                <w:sz w:val="24"/>
                <w:szCs w:val="24"/>
                <w:highlight w:val="none"/>
              </w:rPr>
              <w:t>t/a，排放浓度为</w:t>
            </w:r>
            <w:r>
              <w:rPr>
                <w:rFonts w:hint="default" w:ascii="Times New Roman" w:hAnsi="Times New Roman"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8.0</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vertAlign w:val="subscript"/>
                <w:lang w:val="en-US" w:eastAsia="zh-CN"/>
              </w:rPr>
            </w:pP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rPr>
              <w:t>、SO</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vertAlign w:val="baseline"/>
                <w:lang w:eastAsia="zh-CN"/>
              </w:rPr>
              <w:t>排放量</w:t>
            </w:r>
            <w:r>
              <w:rPr>
                <w:rFonts w:hint="default" w:ascii="Times New Roman" w:hAnsi="Times New Roman" w:eastAsia="宋体" w:cs="Times New Roman"/>
                <w:b w:val="0"/>
                <w:bCs w:val="0"/>
                <w:color w:val="auto"/>
                <w:sz w:val="24"/>
                <w:szCs w:val="24"/>
                <w:highlight w:val="none"/>
                <w:lang w:val="en-US" w:eastAsia="zh-CN"/>
              </w:rPr>
              <w:t>计算公式</w:t>
            </w:r>
          </w:p>
          <w:p>
            <w:pPr>
              <w:keepNext w:val="0"/>
              <w:keepLines w:val="0"/>
              <w:pageBreakBefore w:val="0"/>
              <w:widowControl w:val="0"/>
              <w:kinsoku/>
              <w:wordWrap/>
              <w:overflowPunct/>
              <w:topLinePunct w:val="0"/>
              <w:autoSpaceDE/>
              <w:autoSpaceDN/>
              <w:bidi w:val="0"/>
              <w:adjustRightInd/>
              <w:spacing w:line="360" w:lineRule="auto"/>
              <w:jc w:val="center"/>
              <w:rPr>
                <w:rFonts w:hint="default" w:ascii="Times New Roman" w:hAnsi="Times New Roman" w:cs="Times New Roman"/>
                <w:b w:val="0"/>
                <w:bCs w:val="0"/>
                <w:snapToGrid w:val="0"/>
                <w:color w:val="FF0000"/>
                <w:kern w:val="0"/>
                <w:position w:val="-28"/>
                <w:sz w:val="24"/>
                <w:szCs w:val="24"/>
                <w:highlight w:val="none"/>
              </w:rPr>
            </w:pPr>
            <w:r>
              <w:rPr>
                <w:rFonts w:hint="default" w:ascii="Times New Roman" w:hAnsi="Times New Roman" w:cs="Times New Roman"/>
                <w:b w:val="0"/>
                <w:bCs w:val="0"/>
                <w:color w:val="FF0000"/>
                <w:sz w:val="24"/>
                <w:szCs w:val="24"/>
                <w:highlight w:val="none"/>
              </w:rPr>
              <w:drawing>
                <wp:inline distT="0" distB="0" distL="114300" distR="114300">
                  <wp:extent cx="2704465" cy="443230"/>
                  <wp:effectExtent l="0" t="0" r="635" b="1397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5"/>
                          <a:stretch>
                            <a:fillRect/>
                          </a:stretch>
                        </pic:blipFill>
                        <pic:spPr>
                          <a:xfrm>
                            <a:off x="0" y="0"/>
                            <a:ext cx="2704465" cy="443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b w:val="0"/>
                <w:bCs w:val="0"/>
                <w:color w:val="auto"/>
                <w:position w:val="-10"/>
                <w:sz w:val="24"/>
                <w:szCs w:val="24"/>
                <w:highlight w:val="none"/>
              </w:rPr>
            </w:pPr>
            <w:r>
              <w:rPr>
                <w:rFonts w:hint="default" w:ascii="Times New Roman" w:hAnsi="Times New Roman" w:eastAsia="宋体" w:cs="Times New Roman"/>
                <w:b w:val="0"/>
                <w:bCs w:val="0"/>
                <w:color w:val="auto"/>
                <w:position w:val="-10"/>
                <w:sz w:val="24"/>
                <w:szCs w:val="24"/>
                <w:highlight w:val="none"/>
              </w:rPr>
              <w:t>式中：</w:t>
            </w:r>
            <w:r>
              <w:rPr>
                <w:rFonts w:hint="default" w:ascii="Times New Roman" w:hAnsi="Times New Roman" w:eastAsia="宋体" w:cs="Times New Roman"/>
                <w:b w:val="0"/>
                <w:bCs w:val="0"/>
                <w:color w:val="auto"/>
                <w:position w:val="-10"/>
                <w:sz w:val="24"/>
                <w:szCs w:val="24"/>
                <w:highlight w:val="none"/>
                <w:lang w:val="en-US" w:eastAsia="zh-CN"/>
              </w:rPr>
              <w:t>Eso</w:t>
            </w:r>
            <w:r>
              <w:rPr>
                <w:rFonts w:hint="default" w:ascii="Times New Roman" w:hAnsi="Times New Roman" w:eastAsia="宋体" w:cs="Times New Roman"/>
                <w:b w:val="0"/>
                <w:bCs w:val="0"/>
                <w:color w:val="auto"/>
                <w:position w:val="-10"/>
                <w:sz w:val="24"/>
                <w:szCs w:val="24"/>
                <w:highlight w:val="none"/>
                <w:vertAlign w:val="subscript"/>
                <w:lang w:val="en-US" w:eastAsia="zh-CN"/>
              </w:rPr>
              <w:t>2</w:t>
            </w:r>
            <w:r>
              <w:rPr>
                <w:rFonts w:hint="default" w:ascii="Times New Roman" w:hAnsi="Times New Roman" w:eastAsia="宋体" w:cs="Times New Roman"/>
                <w:b w:val="0"/>
                <w:bCs w:val="0"/>
                <w:color w:val="auto"/>
                <w:position w:val="-10"/>
                <w:sz w:val="24"/>
                <w:szCs w:val="24"/>
                <w:highlight w:val="none"/>
              </w:rPr>
              <w:t>—</w:t>
            </w:r>
            <w:r>
              <w:rPr>
                <w:rFonts w:hint="default" w:ascii="Times New Roman" w:hAnsi="Times New Roman" w:eastAsia="宋体" w:cs="Times New Roman"/>
                <w:b w:val="0"/>
                <w:bCs w:val="0"/>
                <w:color w:val="auto"/>
                <w:position w:val="-10"/>
                <w:sz w:val="24"/>
                <w:szCs w:val="24"/>
                <w:highlight w:val="none"/>
                <w:lang w:val="en-US" w:eastAsia="zh-CN"/>
              </w:rPr>
              <w:t>核算时段内</w:t>
            </w:r>
            <w:r>
              <w:rPr>
                <w:rFonts w:hint="default" w:ascii="Times New Roman" w:hAnsi="Times New Roman" w:eastAsia="宋体" w:cs="Times New Roman"/>
                <w:b w:val="0"/>
                <w:bCs w:val="0"/>
                <w:color w:val="auto"/>
                <w:position w:val="-10"/>
                <w:sz w:val="24"/>
                <w:szCs w:val="24"/>
                <w:highlight w:val="none"/>
              </w:rPr>
              <w:t>二氧化硫排放量，t/h；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rPr>
            </w:pPr>
            <w:r>
              <w:rPr>
                <w:rFonts w:hint="default" w:ascii="Times New Roman" w:hAnsi="Times New Roman" w:eastAsia="宋体" w:cs="Times New Roman"/>
                <w:b w:val="0"/>
                <w:bCs w:val="0"/>
                <w:color w:val="auto"/>
                <w:position w:val="-4"/>
                <w:sz w:val="24"/>
                <w:szCs w:val="24"/>
                <w:highlight w:val="none"/>
                <w:lang w:val="en-US" w:eastAsia="zh-CN"/>
              </w:rPr>
              <w:t>R—核算时段内</w:t>
            </w:r>
            <w:r>
              <w:rPr>
                <w:rFonts w:hint="default" w:ascii="Times New Roman" w:hAnsi="Times New Roman" w:eastAsia="宋体" w:cs="Times New Roman"/>
                <w:b w:val="0"/>
                <w:bCs w:val="0"/>
                <w:color w:val="auto"/>
                <w:position w:val="-4"/>
                <w:sz w:val="24"/>
                <w:szCs w:val="24"/>
                <w:highlight w:val="none"/>
              </w:rPr>
              <w:t>锅炉燃料耗量，t/h；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lang w:eastAsia="zh-CN"/>
              </w:rPr>
            </w:pPr>
            <w:r>
              <w:rPr>
                <w:rFonts w:hint="default" w:ascii="Times New Roman" w:hAnsi="Times New Roman" w:eastAsia="宋体" w:cs="Times New Roman"/>
                <w:b w:val="0"/>
                <w:bCs w:val="0"/>
                <w:color w:val="auto"/>
                <w:position w:val="-4"/>
                <w:sz w:val="24"/>
                <w:szCs w:val="24"/>
                <w:highlight w:val="none"/>
              </w:rPr>
              <w:object>
                <v:shape id="_x0000_i1031" o:spt="75" type="#_x0000_t75" style="height:14.25pt;width:27.15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31" r:id="rId26">
                  <o:LockedField>false</o:LockedField>
                </o:OLEObject>
              </w:object>
            </w:r>
            <w:r>
              <w:rPr>
                <w:rFonts w:hint="default" w:ascii="Times New Roman" w:hAnsi="Times New Roman" w:eastAsia="宋体" w:cs="Times New Roman"/>
                <w:b w:val="0"/>
                <w:bCs w:val="0"/>
                <w:color w:val="auto"/>
                <w:position w:val="-4"/>
                <w:sz w:val="24"/>
                <w:szCs w:val="24"/>
                <w:highlight w:val="none"/>
              </w:rPr>
              <w:t>—燃料收到基全硫含量，%，</w:t>
            </w:r>
            <w:r>
              <w:rPr>
                <w:rFonts w:hint="default" w:ascii="Times New Roman" w:hAnsi="Times New Roman" w:eastAsia="宋体" w:cs="Times New Roman"/>
                <w:b w:val="0"/>
                <w:bCs w:val="0"/>
                <w:color w:val="auto"/>
                <w:sz w:val="24"/>
                <w:szCs w:val="24"/>
                <w:highlight w:val="none"/>
              </w:rPr>
              <w:t>本次评价取0</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rPr>
            </w:pPr>
            <w:r>
              <w:rPr>
                <w:rFonts w:hint="default" w:ascii="Times New Roman" w:hAnsi="Times New Roman" w:eastAsia="宋体" w:cs="Times New Roman"/>
                <w:b w:val="0"/>
                <w:bCs w:val="0"/>
                <w:color w:val="auto"/>
                <w:position w:val="-10"/>
                <w:sz w:val="24"/>
                <w:szCs w:val="24"/>
                <w:highlight w:val="none"/>
              </w:rPr>
              <w:object>
                <v:shape id="_x0000_i1032" o:spt="75" type="#_x0000_t75" style="height:12.9pt;width:14.25pt;" o:ole="t" filled="f" o:preferrelative="t" stroked="f" coordsize="21600,21600">
                  <v:path/>
                  <v:fill on="f" focussize="0,0"/>
                  <v:stroke on="f"/>
                  <v:imagedata r:id="rId29" o:title=""/>
                  <o:lock v:ext="edit" aspectratio="t"/>
                  <w10:wrap type="none"/>
                  <w10:anchorlock/>
                </v:shape>
                <o:OLEObject Type="Embed" ProgID="Equation.3" ShapeID="_x0000_i1032" DrawAspect="Content" ObjectID="_1468075732" r:id="rId28">
                  <o:LockedField>false</o:LockedField>
                </o:OLEObject>
              </w:object>
            </w:r>
            <w:r>
              <w:rPr>
                <w:rFonts w:hint="default" w:ascii="Times New Roman" w:hAnsi="Times New Roman" w:eastAsia="宋体" w:cs="Times New Roman"/>
                <w:b w:val="0"/>
                <w:bCs w:val="0"/>
                <w:color w:val="auto"/>
                <w:position w:val="-4"/>
                <w:sz w:val="24"/>
                <w:szCs w:val="24"/>
                <w:highlight w:val="none"/>
              </w:rPr>
              <w:t>—脱硫效率，%，本次评价取</w:t>
            </w:r>
            <w:r>
              <w:rPr>
                <w:rFonts w:hint="default" w:ascii="Times New Roman" w:hAnsi="Times New Roman" w:eastAsia="宋体" w:cs="Times New Roman"/>
                <w:b w:val="0"/>
                <w:bCs w:val="0"/>
                <w:color w:val="auto"/>
                <w:position w:val="-4"/>
                <w:sz w:val="24"/>
                <w:szCs w:val="24"/>
                <w:highlight w:val="none"/>
                <w:lang w:val="en-US" w:eastAsia="zh-CN"/>
              </w:rPr>
              <w:t>0</w:t>
            </w:r>
            <w:r>
              <w:rPr>
                <w:rFonts w:hint="default" w:ascii="Times New Roman" w:hAnsi="Times New Roman" w:eastAsia="宋体" w:cs="Times New Roman"/>
                <w:b w:val="0"/>
                <w:bCs w:val="0"/>
                <w:color w:val="auto"/>
                <w:position w:val="-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宋体" w:cs="Times New Roman"/>
                <w:b w:val="0"/>
                <w:bCs w:val="0"/>
                <w:color w:val="auto"/>
                <w:position w:val="-4"/>
                <w:sz w:val="24"/>
                <w:szCs w:val="24"/>
                <w:highlight w:val="none"/>
              </w:rPr>
            </w:pPr>
            <w:r>
              <w:rPr>
                <w:rFonts w:hint="default" w:ascii="Times New Roman" w:hAnsi="Times New Roman" w:eastAsia="宋体" w:cs="Times New Roman"/>
                <w:b w:val="0"/>
                <w:bCs w:val="0"/>
                <w:color w:val="auto"/>
                <w:position w:val="-4"/>
                <w:sz w:val="24"/>
                <w:szCs w:val="24"/>
                <w:highlight w:val="none"/>
              </w:rPr>
              <w:object>
                <v:shape id="_x0000_i1033" o:spt="75" type="#_x0000_t75" style="height:12.25pt;width:14.25pt;" o:ole="t" filled="f" o:preferrelative="t" stroked="f" coordsize="21600,21600">
                  <v:path/>
                  <v:fill on="f" focussize="0,0"/>
                  <v:stroke on="f"/>
                  <v:imagedata r:id="rId31" o:title=""/>
                  <o:lock v:ext="edit" aspectratio="t"/>
                  <w10:wrap type="none"/>
                  <w10:anchorlock/>
                </v:shape>
                <o:OLEObject Type="Embed" ProgID="Equation.3" ShapeID="_x0000_i1033" DrawAspect="Content" ObjectID="_1468075733" r:id="rId30">
                  <o:LockedField>false</o:LockedField>
                </o:OLEObject>
              </w:object>
            </w:r>
            <w:r>
              <w:rPr>
                <w:rFonts w:hint="default" w:ascii="Times New Roman" w:hAnsi="Times New Roman" w:eastAsia="宋体" w:cs="Times New Roman"/>
                <w:b w:val="0"/>
                <w:bCs w:val="0"/>
                <w:color w:val="auto"/>
                <w:position w:val="-4"/>
                <w:sz w:val="24"/>
                <w:szCs w:val="24"/>
                <w:highlight w:val="none"/>
              </w:rPr>
              <w:t>—锅炉机械未完全燃烧热损失，%，本次评价取</w:t>
            </w:r>
            <w:r>
              <w:rPr>
                <w:rFonts w:hint="default" w:ascii="Times New Roman" w:hAnsi="Times New Roman" w:eastAsia="宋体" w:cs="Times New Roman"/>
                <w:b w:val="0"/>
                <w:bCs w:val="0"/>
                <w:color w:val="auto"/>
                <w:position w:val="-4"/>
                <w:sz w:val="24"/>
                <w:szCs w:val="24"/>
                <w:highlight w:val="none"/>
                <w:lang w:val="en-US" w:eastAsia="zh-CN"/>
              </w:rPr>
              <w:t>10</w:t>
            </w:r>
            <w:r>
              <w:rPr>
                <w:rFonts w:hint="default" w:ascii="Times New Roman" w:hAnsi="Times New Roman" w:eastAsia="宋体" w:cs="Times New Roman"/>
                <w:b w:val="0"/>
                <w:bCs w:val="0"/>
                <w:color w:val="auto"/>
                <w:position w:val="-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center"/>
              <w:rPr>
                <w:rFonts w:hint="default" w:ascii="Times New Roman" w:hAnsi="Times New Roman" w:eastAsia="仿宋" w:cs="Times New Roman"/>
                <w:b w:val="0"/>
                <w:bCs w:val="0"/>
                <w:color w:val="auto"/>
                <w:sz w:val="24"/>
                <w:szCs w:val="24"/>
                <w:highlight w:val="none"/>
              </w:rPr>
            </w:pPr>
            <w:r>
              <w:rPr>
                <w:rFonts w:hint="default" w:ascii="Times New Roman" w:hAnsi="Times New Roman" w:eastAsia="宋体" w:cs="Times New Roman"/>
                <w:b w:val="0"/>
                <w:bCs w:val="0"/>
                <w:color w:val="auto"/>
                <w:position w:val="-4"/>
                <w:sz w:val="24"/>
                <w:szCs w:val="24"/>
                <w:highlight w:val="none"/>
              </w:rPr>
              <w:object>
                <v:shape id="_x0000_i1034" o:spt="75" type="#_x0000_t75" style="height:12.9pt;width:12.25pt;" o:ole="t" filled="f" o:preferrelative="t" stroked="f" coordsize="21600,21600">
                  <v:path/>
                  <v:fill on="f" focussize="0,0"/>
                  <v:stroke on="f"/>
                  <v:imagedata r:id="rId33" o:title=""/>
                  <o:lock v:ext="edit" aspectratio="t"/>
                  <w10:wrap type="none"/>
                  <w10:anchorlock/>
                </v:shape>
                <o:OLEObject Type="Embed" ProgID="Equation.3" ShapeID="_x0000_i1034" DrawAspect="Content" ObjectID="_1468075734" r:id="rId32">
                  <o:LockedField>false</o:LockedField>
                </o:OLEObject>
              </w:object>
            </w:r>
            <w:r>
              <w:rPr>
                <w:rFonts w:hint="default" w:ascii="Times New Roman" w:hAnsi="Times New Roman" w:eastAsia="宋体" w:cs="Times New Roman"/>
                <w:b w:val="0"/>
                <w:bCs w:val="0"/>
                <w:color w:val="auto"/>
                <w:position w:val="-4"/>
                <w:sz w:val="24"/>
                <w:szCs w:val="24"/>
                <w:highlight w:val="none"/>
              </w:rPr>
              <w:t>—燃料中的硫燃烧后氧化成二氧化硫的份额，本次评价取0.4</w:t>
            </w:r>
            <w:r>
              <w:rPr>
                <w:rFonts w:hint="default" w:ascii="Times New Roman" w:hAnsi="Times New Roman" w:eastAsia="仿宋" w:cs="Times New Roman"/>
                <w:b w:val="0"/>
                <w:bCs w:val="0"/>
                <w:color w:val="auto"/>
                <w:position w:val="-4"/>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val="0"/>
                <w:color w:val="FF0000"/>
                <w:sz w:val="24"/>
                <w:szCs w:val="24"/>
                <w:highlight w:val="none"/>
              </w:rPr>
            </w:pPr>
            <w:r>
              <w:rPr>
                <w:rFonts w:hint="default" w:ascii="Times New Roman" w:hAnsi="Times New Roman" w:eastAsia="宋体" w:cs="Times New Roman"/>
                <w:b w:val="0"/>
                <w:bCs w:val="0"/>
                <w:color w:val="auto"/>
                <w:sz w:val="24"/>
                <w:szCs w:val="24"/>
                <w:highlight w:val="none"/>
              </w:rPr>
              <w:t>本项目</w:t>
            </w:r>
            <w:r>
              <w:rPr>
                <w:rFonts w:hint="default" w:ascii="Times New Roman" w:hAnsi="Times New Roman" w:cs="Times New Roman"/>
                <w:b w:val="0"/>
                <w:bCs w:val="0"/>
                <w:color w:val="auto"/>
                <w:sz w:val="24"/>
                <w:szCs w:val="24"/>
                <w:highlight w:val="none"/>
                <w:lang w:val="en-US" w:eastAsia="zh-CN"/>
              </w:rPr>
              <w:t>鲜食玉米和速冻玉米的年运行时间为600h。</w:t>
            </w:r>
            <w:r>
              <w:rPr>
                <w:rFonts w:hint="eastAsia" w:cs="Times New Roman"/>
                <w:b w:val="0"/>
                <w:bCs w:val="0"/>
                <w:color w:val="auto"/>
                <w:sz w:val="24"/>
                <w:szCs w:val="24"/>
                <w:highlight w:val="none"/>
                <w:lang w:val="en-US" w:eastAsia="zh-CN"/>
              </w:rPr>
              <w:t>4t/h和6t/h</w:t>
            </w:r>
            <w:r>
              <w:rPr>
                <w:rFonts w:hint="default" w:ascii="Times New Roman" w:hAnsi="Times New Roman" w:cs="Times New Roman"/>
                <w:b w:val="0"/>
                <w:bCs w:val="0"/>
                <w:color w:val="auto"/>
                <w:sz w:val="24"/>
                <w:szCs w:val="24"/>
                <w:highlight w:val="none"/>
                <w:lang w:val="en-US" w:eastAsia="zh-CN"/>
              </w:rPr>
              <w:t>燃生物质蒸汽锅炉燃料耗量为</w:t>
            </w:r>
            <w:r>
              <w:rPr>
                <w:rFonts w:hint="eastAsia" w:cs="Times New Roman"/>
                <w:b w:val="0"/>
                <w:bCs w:val="0"/>
                <w:color w:val="auto"/>
                <w:sz w:val="24"/>
                <w:szCs w:val="24"/>
                <w:highlight w:val="none"/>
                <w:lang w:val="en-US" w:eastAsia="zh-CN"/>
              </w:rPr>
              <w:t>2.78</w:t>
            </w:r>
            <w:r>
              <w:rPr>
                <w:rFonts w:hint="default" w:ascii="Times New Roman" w:hAnsi="Times New Roman" w:cs="Times New Roman"/>
                <w:b w:val="0"/>
                <w:bCs w:val="0"/>
                <w:color w:val="auto"/>
                <w:sz w:val="24"/>
                <w:szCs w:val="24"/>
                <w:highlight w:val="none"/>
                <w:lang w:val="en-US" w:eastAsia="zh-CN"/>
              </w:rPr>
              <w:t>t/h，</w:t>
            </w:r>
            <w:r>
              <w:rPr>
                <w:rFonts w:hint="eastAsia" w:cs="Times New Roman"/>
                <w:b w:val="0"/>
                <w:bCs w:val="0"/>
                <w:color w:val="auto"/>
                <w:sz w:val="24"/>
                <w:szCs w:val="24"/>
                <w:highlight w:val="none"/>
                <w:lang w:val="en-US" w:eastAsia="zh-CN"/>
              </w:rPr>
              <w:t>1665</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rPr>
              <w:t>，则</w:t>
            </w:r>
            <w:r>
              <w:rPr>
                <w:rFonts w:hint="default" w:ascii="Times New Roman" w:hAnsi="Times New Roman" w:eastAsia="宋体" w:cs="Times New Roman"/>
                <w:b w:val="0"/>
                <w:bCs w:val="0"/>
                <w:color w:val="auto"/>
                <w:sz w:val="24"/>
                <w:szCs w:val="24"/>
                <w:highlight w:val="none"/>
                <w:lang w:val="en-US" w:eastAsia="zh-CN"/>
              </w:rPr>
              <w:t>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rPr>
              <w:t>产生量为</w:t>
            </w:r>
            <w:r>
              <w:rPr>
                <w:rFonts w:hint="eastAsia" w:cs="Times New Roman"/>
                <w:b w:val="0"/>
                <w:bCs w:val="0"/>
                <w:color w:val="auto"/>
                <w:sz w:val="24"/>
                <w:szCs w:val="24"/>
                <w:highlight w:val="none"/>
                <w:lang w:val="en-US" w:eastAsia="zh-CN"/>
              </w:rPr>
              <w:t>0.80</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eastAsia="宋体" w:cs="Times New Roman"/>
                <w:b w:val="0"/>
                <w:bCs w:val="0"/>
                <w:color w:val="auto"/>
                <w:sz w:val="24"/>
                <w:szCs w:val="24"/>
                <w:highlight w:val="none"/>
              </w:rPr>
              <w:t>/h，</w:t>
            </w:r>
            <w:r>
              <w:rPr>
                <w:rFonts w:hint="eastAsia" w:cs="Times New Roman"/>
                <w:b w:val="0"/>
                <w:bCs w:val="0"/>
                <w:color w:val="auto"/>
                <w:sz w:val="24"/>
                <w:szCs w:val="24"/>
                <w:highlight w:val="none"/>
                <w:lang w:val="en-US" w:eastAsia="zh-CN"/>
              </w:rPr>
              <w:t>0.48</w:t>
            </w:r>
            <w:r>
              <w:rPr>
                <w:rFonts w:hint="default" w:ascii="Times New Roman" w:hAnsi="Times New Roman" w:eastAsia="宋体" w:cs="Times New Roman"/>
                <w:b w:val="0"/>
                <w:bCs w:val="0"/>
                <w:color w:val="auto"/>
                <w:sz w:val="24"/>
                <w:szCs w:val="24"/>
                <w:highlight w:val="none"/>
              </w:rPr>
              <w:t>t/a，产生浓度为</w:t>
            </w:r>
            <w:r>
              <w:rPr>
                <w:rFonts w:hint="eastAsia" w:cs="Times New Roman"/>
                <w:b w:val="0"/>
                <w:bCs w:val="0"/>
                <w:color w:val="auto"/>
                <w:sz w:val="24"/>
                <w:szCs w:val="24"/>
                <w:highlight w:val="none"/>
                <w:lang w:val="en-US" w:eastAsia="zh-CN"/>
              </w:rPr>
              <w:t>62.1</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SO</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rPr>
              <w:t>排放量为</w:t>
            </w:r>
            <w:r>
              <w:rPr>
                <w:rFonts w:hint="eastAsia" w:cs="Times New Roman"/>
                <w:b w:val="0"/>
                <w:bCs w:val="0"/>
                <w:color w:val="auto"/>
                <w:sz w:val="24"/>
                <w:szCs w:val="24"/>
                <w:highlight w:val="none"/>
                <w:lang w:val="en-US" w:eastAsia="zh-CN"/>
              </w:rPr>
              <w:t>0.80</w:t>
            </w:r>
            <w:r>
              <w:rPr>
                <w:rFonts w:hint="default" w:ascii="Times New Roman" w:hAnsi="Times New Roman" w:cs="Times New Roman"/>
                <w:b w:val="0"/>
                <w:bCs w:val="0"/>
                <w:color w:val="auto"/>
                <w:sz w:val="24"/>
                <w:szCs w:val="24"/>
                <w:highlight w:val="none"/>
                <w:lang w:val="en-US" w:eastAsia="zh-CN"/>
              </w:rPr>
              <w:t>kg</w:t>
            </w:r>
            <w:r>
              <w:rPr>
                <w:rFonts w:hint="default" w:ascii="Times New Roman" w:hAnsi="Times New Roman" w:eastAsia="宋体" w:cs="Times New Roman"/>
                <w:b w:val="0"/>
                <w:bCs w:val="0"/>
                <w:color w:val="auto"/>
                <w:sz w:val="24"/>
                <w:szCs w:val="24"/>
                <w:highlight w:val="none"/>
              </w:rPr>
              <w:t>/h，</w:t>
            </w:r>
            <w:r>
              <w:rPr>
                <w:rFonts w:hint="eastAsia" w:cs="Times New Roman"/>
                <w:b w:val="0"/>
                <w:bCs w:val="0"/>
                <w:color w:val="auto"/>
                <w:sz w:val="24"/>
                <w:szCs w:val="24"/>
                <w:highlight w:val="none"/>
                <w:lang w:val="en-US" w:eastAsia="zh-CN"/>
              </w:rPr>
              <w:t>0.48</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cs="Times New Roman"/>
                <w:b w:val="0"/>
                <w:bCs w:val="0"/>
                <w:color w:val="auto"/>
                <w:sz w:val="24"/>
                <w:szCs w:val="24"/>
                <w:highlight w:val="none"/>
                <w:lang w:val="en-US" w:eastAsia="zh-CN"/>
              </w:rPr>
              <w:t>排放</w:t>
            </w:r>
            <w:r>
              <w:rPr>
                <w:rFonts w:hint="default" w:ascii="Times New Roman" w:hAnsi="Times New Roman" w:eastAsia="宋体" w:cs="Times New Roman"/>
                <w:b w:val="0"/>
                <w:bCs w:val="0"/>
                <w:color w:val="auto"/>
                <w:sz w:val="24"/>
                <w:szCs w:val="24"/>
                <w:highlight w:val="none"/>
              </w:rPr>
              <w:t>浓度为</w:t>
            </w:r>
            <w:r>
              <w:rPr>
                <w:rFonts w:hint="eastAsia" w:cs="Times New Roman"/>
                <w:b w:val="0"/>
                <w:bCs w:val="0"/>
                <w:color w:val="auto"/>
                <w:sz w:val="24"/>
                <w:szCs w:val="24"/>
                <w:highlight w:val="none"/>
                <w:lang w:val="en-US" w:eastAsia="zh-CN"/>
              </w:rPr>
              <w:t>62.1</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仿宋" w:cs="Times New Roman"/>
                <w:b w:val="0"/>
                <w:bCs w:val="0"/>
                <w:color w:val="auto"/>
                <w:sz w:val="24"/>
                <w:szCs w:val="24"/>
                <w:highlight w:val="none"/>
                <w:lang w:val="en-US" w:eastAsia="zh-CN"/>
              </w:rPr>
              <w:t>d</w:t>
            </w:r>
            <w:r>
              <w:rPr>
                <w:rFonts w:hint="default" w:ascii="Times New Roman" w:hAnsi="Times New Roman" w:eastAsia="仿宋" w:cs="Times New Roman"/>
                <w:b w:val="0"/>
                <w:bCs w:val="0"/>
                <w:color w:val="auto"/>
                <w:sz w:val="24"/>
                <w:szCs w:val="24"/>
                <w:highlight w:val="none"/>
              </w:rPr>
              <w:t>、N</w:t>
            </w:r>
            <w:r>
              <w:rPr>
                <w:rFonts w:hint="default" w:ascii="Times New Roman" w:hAnsi="Times New Roman" w:eastAsia="宋体" w:cs="Times New Roman"/>
                <w:b w:val="0"/>
                <w:bCs w:val="0"/>
                <w:color w:val="auto"/>
                <w:sz w:val="24"/>
                <w:szCs w:val="24"/>
                <w:highlight w:val="none"/>
              </w:rPr>
              <w:t>Ox</w:t>
            </w:r>
            <w:r>
              <w:rPr>
                <w:rFonts w:hint="default" w:ascii="Times New Roman" w:hAnsi="Times New Roman" w:cs="Times New Roman"/>
                <w:b w:val="0"/>
                <w:bCs w:val="0"/>
                <w:color w:val="auto"/>
                <w:sz w:val="24"/>
                <w:szCs w:val="24"/>
                <w:highlight w:val="none"/>
                <w:lang w:val="en-US" w:eastAsia="zh-CN"/>
              </w:rPr>
              <w:t>源强计</w:t>
            </w:r>
            <w:r>
              <w:rPr>
                <w:rFonts w:hint="default" w:ascii="Times New Roman" w:hAnsi="Times New Roman" w:eastAsia="宋体" w:cs="Times New Roman"/>
                <w:b w:val="0"/>
                <w:bCs w:val="0"/>
                <w:color w:val="auto"/>
                <w:sz w:val="24"/>
                <w:szCs w:val="24"/>
                <w:highlight w:val="none"/>
                <w:lang w:val="en-US" w:eastAsia="zh-CN"/>
              </w:rPr>
              <w:t>算</w:t>
            </w:r>
          </w:p>
          <w:p>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③氮氧化物</w:t>
            </w:r>
          </w:p>
          <w:p>
            <w:pPr>
              <w:adjustRightInd w:val="0"/>
              <w:snapToGrid w:val="0"/>
              <w:spacing w:line="360" w:lineRule="auto"/>
              <w:ind w:firstLine="480" w:firstLineChars="200"/>
              <w:jc w:val="center"/>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drawing>
                <wp:inline distT="0" distB="0" distL="0" distR="0">
                  <wp:extent cx="2401570" cy="572770"/>
                  <wp:effectExtent l="0" t="0" r="17780" b="17780"/>
                  <wp:docPr id="244" name="图片 2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1570" cy="572770"/>
                          </a:xfrm>
                          <a:prstGeom prst="rect">
                            <a:avLst/>
                          </a:prstGeom>
                          <a:noFill/>
                          <a:ln>
                            <a:noFill/>
                          </a:ln>
                        </pic:spPr>
                      </pic:pic>
                    </a:graphicData>
                  </a:graphic>
                </wp:inline>
              </w:drawing>
            </w:r>
          </w:p>
          <w:p>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式中：</w:t>
            </w:r>
            <w:r>
              <w:rPr>
                <w:rFonts w:hint="default" w:ascii="Times New Roman" w:hAnsi="Times New Roman" w:cs="Times New Roman"/>
                <w:b w:val="0"/>
                <w:bCs w:val="0"/>
                <w:i/>
                <w:iCs/>
                <w:color w:val="auto"/>
                <w:sz w:val="24"/>
                <w:szCs w:val="24"/>
              </w:rPr>
              <w:t>E</w:t>
            </w:r>
            <w:r>
              <w:rPr>
                <w:rFonts w:hint="default" w:ascii="Times New Roman" w:hAnsi="Times New Roman" w:cs="Times New Roman"/>
                <w:b w:val="0"/>
                <w:bCs w:val="0"/>
                <w:i/>
                <w:iCs/>
                <w:color w:val="auto"/>
                <w:sz w:val="24"/>
                <w:szCs w:val="24"/>
                <w:vertAlign w:val="subscript"/>
              </w:rPr>
              <w:t>NOx</w:t>
            </w:r>
            <w:r>
              <w:rPr>
                <w:rFonts w:hint="default" w:ascii="Times New Roman" w:hAnsi="Times New Roman" w:cs="Times New Roman"/>
                <w:b w:val="0"/>
                <w:bCs w:val="0"/>
                <w:color w:val="auto"/>
                <w:sz w:val="24"/>
                <w:szCs w:val="24"/>
              </w:rPr>
              <w:t>—核算时段内氮氧化物排放量，t；</w:t>
            </w:r>
          </w:p>
          <w:p>
            <w:pPr>
              <w:adjustRightInd w:val="0"/>
              <w:snapToGrid w:val="0"/>
              <w:spacing w:line="360" w:lineRule="auto"/>
              <w:ind w:firstLine="1200" w:firstLineChars="500"/>
              <w:rPr>
                <w:rFonts w:hint="default" w:ascii="Times New Roman" w:hAnsi="Times New Roman" w:cs="Times New Roman"/>
                <w:b w:val="0"/>
                <w:bCs w:val="0"/>
                <w:color w:val="auto"/>
                <w:sz w:val="24"/>
                <w:szCs w:val="24"/>
              </w:rPr>
            </w:pPr>
            <w:r>
              <w:rPr>
                <w:rFonts w:hint="default" w:ascii="Times New Roman" w:hAnsi="Times New Roman" w:cs="Times New Roman"/>
                <w:b w:val="0"/>
                <w:bCs w:val="0"/>
                <w:i/>
                <w:iCs/>
                <w:color w:val="auto"/>
                <w:sz w:val="24"/>
                <w:szCs w:val="24"/>
              </w:rPr>
              <w:t>ρ</w:t>
            </w:r>
            <w:r>
              <w:rPr>
                <w:rFonts w:hint="default" w:ascii="Times New Roman" w:hAnsi="Times New Roman" w:cs="Times New Roman"/>
                <w:b w:val="0"/>
                <w:bCs w:val="0"/>
                <w:i/>
                <w:iCs/>
                <w:color w:val="auto"/>
                <w:sz w:val="24"/>
                <w:szCs w:val="24"/>
                <w:vertAlign w:val="subscript"/>
              </w:rPr>
              <w:t>NOX</w:t>
            </w:r>
            <w:r>
              <w:rPr>
                <w:rFonts w:hint="default" w:ascii="Times New Roman" w:hAnsi="Times New Roman" w:cs="Times New Roman"/>
                <w:b w:val="0"/>
                <w:bCs w:val="0"/>
                <w:color w:val="auto"/>
                <w:sz w:val="24"/>
                <w:szCs w:val="24"/>
              </w:rPr>
              <w:t>—锅炉炉膛出口氮氧化物质量浓度，mg/m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根据锅炉厂家提供的资料，</w:t>
            </w:r>
            <w:r>
              <w:rPr>
                <w:rFonts w:hint="default" w:ascii="Times New Roman" w:hAnsi="Times New Roman" w:cs="Times New Roman"/>
                <w:b w:val="0"/>
                <w:bCs w:val="0"/>
                <w:color w:val="auto"/>
                <w:sz w:val="24"/>
                <w:szCs w:val="24"/>
              </w:rPr>
              <w:t>本项目取180mg/m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w:t>
            </w:r>
          </w:p>
          <w:p>
            <w:pPr>
              <w:adjustRightInd w:val="0"/>
              <w:snapToGrid w:val="0"/>
              <w:spacing w:line="360" w:lineRule="auto"/>
              <w:ind w:firstLine="1200" w:firstLineChars="500"/>
              <w:rPr>
                <w:rFonts w:hint="default" w:ascii="Times New Roman" w:hAnsi="Times New Roman" w:cs="Times New Roman"/>
                <w:b w:val="0"/>
                <w:bCs w:val="0"/>
                <w:color w:val="auto"/>
                <w:sz w:val="24"/>
                <w:szCs w:val="24"/>
              </w:rPr>
            </w:pPr>
            <w:r>
              <w:rPr>
                <w:rFonts w:hint="default" w:ascii="Times New Roman" w:hAnsi="Times New Roman" w:cs="Times New Roman"/>
                <w:b w:val="0"/>
                <w:bCs w:val="0"/>
                <w:i/>
                <w:iCs/>
                <w:color w:val="auto"/>
                <w:sz w:val="24"/>
                <w:szCs w:val="24"/>
              </w:rPr>
              <w:t>Q</w:t>
            </w:r>
            <w:r>
              <w:rPr>
                <w:rFonts w:hint="default" w:ascii="Times New Roman" w:hAnsi="Times New Roman" w:cs="Times New Roman"/>
                <w:b w:val="0"/>
                <w:bCs w:val="0"/>
                <w:color w:val="auto"/>
                <w:sz w:val="24"/>
                <w:szCs w:val="24"/>
              </w:rPr>
              <w:t>—核算时段内标态干烟气排放量，m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，取</w:t>
            </w:r>
            <w:r>
              <w:rPr>
                <w:rFonts w:hint="eastAsia" w:cs="Times New Roman"/>
                <w:b w:val="0"/>
                <w:bCs w:val="0"/>
                <w:color w:val="auto"/>
                <w:sz w:val="24"/>
                <w:szCs w:val="24"/>
                <w:lang w:val="en-US" w:eastAsia="zh-CN"/>
              </w:rPr>
              <w:t>7731600</w:t>
            </w:r>
            <w:r>
              <w:rPr>
                <w:rFonts w:hint="default" w:ascii="Times New Roman" w:hAnsi="Times New Roman" w:cs="Times New Roman"/>
                <w:b w:val="0"/>
                <w:bCs w:val="0"/>
                <w:color w:val="auto"/>
                <w:sz w:val="24"/>
                <w:szCs w:val="24"/>
              </w:rPr>
              <w:t>；</w:t>
            </w:r>
          </w:p>
          <w:p>
            <w:pPr>
              <w:adjustRightInd w:val="0"/>
              <w:snapToGrid w:val="0"/>
              <w:spacing w:line="360" w:lineRule="auto"/>
              <w:ind w:firstLine="1200" w:firstLineChars="500"/>
              <w:rPr>
                <w:rFonts w:hint="default" w:ascii="Times New Roman" w:hAnsi="Times New Roman" w:cs="Times New Roman"/>
                <w:b w:val="0"/>
                <w:bCs w:val="0"/>
                <w:color w:val="auto"/>
                <w:sz w:val="24"/>
                <w:szCs w:val="24"/>
              </w:rPr>
            </w:pPr>
            <w:r>
              <w:rPr>
                <w:rFonts w:hint="default" w:ascii="Times New Roman" w:hAnsi="Times New Roman" w:cs="Times New Roman"/>
                <w:b w:val="0"/>
                <w:bCs w:val="0"/>
                <w:i/>
                <w:iCs/>
                <w:color w:val="auto"/>
                <w:sz w:val="24"/>
                <w:szCs w:val="24"/>
              </w:rPr>
              <w:t>η</w:t>
            </w:r>
            <w:r>
              <w:rPr>
                <w:rFonts w:hint="default" w:ascii="Times New Roman" w:hAnsi="Times New Roman" w:cs="Times New Roman"/>
                <w:b w:val="0"/>
                <w:bCs w:val="0"/>
                <w:i/>
                <w:iCs/>
                <w:color w:val="auto"/>
                <w:sz w:val="24"/>
                <w:szCs w:val="24"/>
                <w:vertAlign w:val="subscript"/>
              </w:rPr>
              <w:t>NOX</w:t>
            </w:r>
            <w:r>
              <w:rPr>
                <w:rFonts w:hint="default" w:ascii="Times New Roman" w:hAnsi="Times New Roman" w:cs="Times New Roman"/>
                <w:b w:val="0"/>
                <w:bCs w:val="0"/>
                <w:color w:val="auto"/>
                <w:sz w:val="24"/>
                <w:szCs w:val="24"/>
              </w:rPr>
              <w:t>—脱硝效率，%，取0；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则</w:t>
            </w:r>
            <w:r>
              <w:rPr>
                <w:rFonts w:hint="eastAsia" w:cs="Times New Roman"/>
                <w:b w:val="0"/>
                <w:bCs w:val="0"/>
                <w:color w:val="auto"/>
                <w:sz w:val="24"/>
                <w:szCs w:val="24"/>
                <w:highlight w:val="none"/>
                <w:lang w:val="en-US" w:eastAsia="zh-CN"/>
              </w:rPr>
              <w:t>4t/h和6t/h</w:t>
            </w:r>
            <w:r>
              <w:rPr>
                <w:rFonts w:hint="default" w:ascii="Times New Roman" w:hAnsi="Times New Roman" w:cs="Times New Roman"/>
                <w:b w:val="0"/>
                <w:bCs w:val="0"/>
                <w:color w:val="auto"/>
                <w:sz w:val="24"/>
                <w:szCs w:val="24"/>
                <w:highlight w:val="none"/>
                <w:lang w:val="en-US" w:eastAsia="zh-CN"/>
              </w:rPr>
              <w:t>燃生物质蒸汽锅炉烟气中NOx产生量为</w:t>
            </w:r>
            <w:r>
              <w:rPr>
                <w:rFonts w:hint="eastAsia" w:cs="Times New Roman"/>
                <w:b w:val="0"/>
                <w:bCs w:val="0"/>
                <w:color w:val="auto"/>
                <w:sz w:val="24"/>
                <w:szCs w:val="24"/>
                <w:highlight w:val="none"/>
                <w:lang w:val="en-US" w:eastAsia="zh-CN"/>
              </w:rPr>
              <w:t>2.32</w:t>
            </w:r>
            <w:r>
              <w:rPr>
                <w:rFonts w:hint="default" w:ascii="Times New Roman" w:hAnsi="Times New Roman" w:cs="Times New Roman"/>
                <w:b w:val="0"/>
                <w:bCs w:val="0"/>
                <w:color w:val="auto"/>
                <w:sz w:val="24"/>
                <w:szCs w:val="24"/>
                <w:highlight w:val="none"/>
                <w:lang w:val="en-US" w:eastAsia="zh-CN"/>
              </w:rPr>
              <w:t>kg/h，</w:t>
            </w:r>
            <w:r>
              <w:rPr>
                <w:rFonts w:hint="eastAsia" w:cs="Times New Roman"/>
                <w:b w:val="0"/>
                <w:bCs w:val="0"/>
                <w:color w:val="auto"/>
                <w:sz w:val="24"/>
                <w:szCs w:val="24"/>
                <w:highlight w:val="none"/>
                <w:lang w:val="en-US" w:eastAsia="zh-CN"/>
              </w:rPr>
              <w:t>1.39</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lang w:eastAsia="zh-CN"/>
              </w:rPr>
              <w:t>产生</w:t>
            </w:r>
            <w:r>
              <w:rPr>
                <w:rFonts w:hint="default" w:ascii="Times New Roman" w:hAnsi="Times New Roman" w:eastAsia="宋体" w:cs="Times New Roman"/>
                <w:b w:val="0"/>
                <w:bCs w:val="0"/>
                <w:color w:val="auto"/>
                <w:sz w:val="24"/>
                <w:szCs w:val="24"/>
                <w:highlight w:val="none"/>
              </w:rPr>
              <w:t>浓度为</w:t>
            </w:r>
            <w:r>
              <w:rPr>
                <w:rFonts w:hint="default" w:ascii="Times New Roman" w:hAnsi="Times New Roman" w:cs="Times New Roman"/>
                <w:b w:val="0"/>
                <w:bCs w:val="0"/>
                <w:color w:val="auto"/>
                <w:sz w:val="24"/>
                <w:szCs w:val="24"/>
                <w:highlight w:val="none"/>
                <w:lang w:val="en-US" w:eastAsia="zh-CN"/>
              </w:rPr>
              <w:t>180</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rPr>
              <w:t>NOx排放量为</w:t>
            </w:r>
            <w:r>
              <w:rPr>
                <w:rFonts w:hint="eastAsia" w:cs="Times New Roman"/>
                <w:b w:val="0"/>
                <w:bCs w:val="0"/>
                <w:color w:val="auto"/>
                <w:sz w:val="24"/>
                <w:szCs w:val="24"/>
                <w:highlight w:val="none"/>
                <w:lang w:val="en-US" w:eastAsia="zh-CN"/>
              </w:rPr>
              <w:t>2.32</w:t>
            </w:r>
            <w:r>
              <w:rPr>
                <w:rFonts w:hint="default" w:ascii="Times New Roman" w:hAnsi="Times New Roman" w:cs="Times New Roman"/>
                <w:b w:val="0"/>
                <w:bCs w:val="0"/>
                <w:color w:val="auto"/>
                <w:sz w:val="24"/>
                <w:szCs w:val="24"/>
                <w:highlight w:val="none"/>
                <w:lang w:val="en-US" w:eastAsia="zh-CN"/>
              </w:rPr>
              <w:t>kg/h，</w:t>
            </w:r>
            <w:r>
              <w:rPr>
                <w:rFonts w:hint="eastAsia" w:cs="Times New Roman"/>
                <w:b w:val="0"/>
                <w:bCs w:val="0"/>
                <w:color w:val="auto"/>
                <w:sz w:val="24"/>
                <w:szCs w:val="24"/>
                <w:highlight w:val="none"/>
                <w:lang w:val="en-US" w:eastAsia="zh-CN"/>
              </w:rPr>
              <w:t>1.39</w:t>
            </w:r>
            <w:r>
              <w:rPr>
                <w:rFonts w:hint="default" w:ascii="Times New Roman" w:hAnsi="Times New Roman" w:cs="Times New Roman"/>
                <w:b w:val="0"/>
                <w:bCs w:val="0"/>
                <w:color w:val="auto"/>
                <w:sz w:val="24"/>
                <w:szCs w:val="24"/>
                <w:highlight w:val="none"/>
                <w:lang w:val="en-US" w:eastAsia="zh-CN"/>
              </w:rPr>
              <w:t>t/a，排放</w:t>
            </w:r>
            <w:r>
              <w:rPr>
                <w:rFonts w:hint="default" w:ascii="Times New Roman" w:hAnsi="Times New Roman" w:eastAsia="宋体" w:cs="Times New Roman"/>
                <w:b w:val="0"/>
                <w:bCs w:val="0"/>
                <w:color w:val="auto"/>
                <w:sz w:val="24"/>
                <w:szCs w:val="24"/>
                <w:highlight w:val="none"/>
              </w:rPr>
              <w:t>浓度为</w:t>
            </w:r>
            <w:r>
              <w:rPr>
                <w:rFonts w:hint="default" w:ascii="Times New Roman" w:hAnsi="Times New Roman" w:cs="Times New Roman"/>
                <w:b w:val="0"/>
                <w:bCs w:val="0"/>
                <w:color w:val="auto"/>
                <w:sz w:val="24"/>
                <w:szCs w:val="24"/>
                <w:highlight w:val="none"/>
                <w:lang w:val="en-US" w:eastAsia="zh-CN"/>
              </w:rPr>
              <w:t>180</w:t>
            </w:r>
            <w:r>
              <w:rPr>
                <w:rFonts w:hint="default" w:ascii="Times New Roman" w:hAnsi="Times New Roman" w:eastAsia="宋体" w:cs="Times New Roman"/>
                <w:b w:val="0"/>
                <w:bCs w:val="0"/>
                <w:color w:val="auto"/>
                <w:sz w:val="24"/>
                <w:szCs w:val="24"/>
                <w:highlight w:val="none"/>
              </w:rPr>
              <w:t>mg/m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w:t>
            </w:r>
          </w:p>
          <w:p>
            <w:pPr>
              <w:spacing w:line="360" w:lineRule="auto"/>
              <w:ind w:firstLine="480" w:firstLineChars="200"/>
              <w:outlineLvl w:val="0"/>
              <w:rPr>
                <w:rFonts w:hint="default" w:ascii="Times New Roman" w:hAnsi="Times New Roman" w:cs="Times New Roman"/>
                <w:b w:val="0"/>
                <w:bCs w:val="0"/>
                <w:color w:val="auto"/>
                <w:sz w:val="24"/>
                <w:szCs w:val="24"/>
              </w:rPr>
            </w:pPr>
            <w:bookmarkStart w:id="19" w:name="_Toc2277"/>
            <w:r>
              <w:rPr>
                <w:rFonts w:hint="default" w:ascii="Times New Roman" w:hAnsi="Times New Roman" w:cs="Times New Roman"/>
                <w:b w:val="0"/>
                <w:bCs w:val="0"/>
                <w:color w:val="auto"/>
                <w:sz w:val="24"/>
                <w:szCs w:val="24"/>
              </w:rPr>
              <w:t>（2）</w:t>
            </w:r>
            <w:r>
              <w:rPr>
                <w:rFonts w:hint="default" w:ascii="Times New Roman" w:hAnsi="Times New Roman" w:cs="Times New Roman"/>
                <w:b w:val="0"/>
                <w:bCs w:val="0"/>
                <w:color w:val="auto"/>
                <w:sz w:val="24"/>
                <w:szCs w:val="24"/>
                <w:lang w:eastAsia="zh-CN"/>
              </w:rPr>
              <w:t>高温杀菌工序</w:t>
            </w:r>
            <w:r>
              <w:rPr>
                <w:rFonts w:hint="default" w:ascii="Times New Roman" w:hAnsi="Times New Roman" w:cs="Times New Roman"/>
                <w:b w:val="0"/>
                <w:bCs w:val="0"/>
                <w:color w:val="auto"/>
                <w:sz w:val="24"/>
                <w:szCs w:val="24"/>
              </w:rPr>
              <w:t>异味</w:t>
            </w:r>
            <w:bookmarkEnd w:id="19"/>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color w:val="auto"/>
                <w:sz w:val="24"/>
                <w:szCs w:val="24"/>
              </w:rPr>
              <w:t>本项目</w:t>
            </w:r>
            <w:r>
              <w:rPr>
                <w:rFonts w:hint="default" w:ascii="Times New Roman" w:hAnsi="Times New Roman" w:cs="Times New Roman"/>
                <w:b w:val="0"/>
                <w:bCs w:val="0"/>
                <w:color w:val="auto"/>
                <w:sz w:val="24"/>
                <w:szCs w:val="24"/>
                <w:lang w:eastAsia="zh-CN"/>
              </w:rPr>
              <w:t>鲜食玉米生产线在</w:t>
            </w:r>
            <w:r>
              <w:rPr>
                <w:rFonts w:hint="default" w:ascii="Times New Roman" w:hAnsi="Times New Roman" w:cs="Times New Roman"/>
                <w:b w:val="0"/>
                <w:bCs w:val="0"/>
                <w:color w:val="auto"/>
                <w:sz w:val="24"/>
                <w:szCs w:val="24"/>
              </w:rPr>
              <w:t>玉米</w:t>
            </w:r>
            <w:r>
              <w:rPr>
                <w:rFonts w:hint="default" w:ascii="Times New Roman" w:hAnsi="Times New Roman" w:cs="Times New Roman"/>
                <w:b w:val="0"/>
                <w:bCs w:val="0"/>
                <w:color w:val="auto"/>
                <w:sz w:val="24"/>
                <w:szCs w:val="24"/>
                <w:lang w:eastAsia="zh-CN"/>
              </w:rPr>
              <w:t>高温杀菌工序</w:t>
            </w:r>
            <w:r>
              <w:rPr>
                <w:rFonts w:hint="default" w:ascii="Times New Roman" w:hAnsi="Times New Roman" w:cs="Times New Roman"/>
                <w:b w:val="0"/>
                <w:bCs w:val="0"/>
                <w:color w:val="auto"/>
                <w:sz w:val="24"/>
                <w:szCs w:val="24"/>
              </w:rPr>
              <w:t>会产生少量异味（以臭气浓度计），本项目运营期产生的异味主要由玉米蒸制加热时热气，因现阶段国家无异味的产排污计算系数，故无法进行定量分析，</w:t>
            </w:r>
            <w:r>
              <w:rPr>
                <w:rFonts w:hint="default" w:ascii="Times New Roman" w:hAnsi="Times New Roman" w:cs="Times New Roman"/>
                <w:b w:val="0"/>
                <w:bCs w:val="0"/>
                <w:color w:val="auto"/>
                <w:sz w:val="24"/>
                <w:szCs w:val="24"/>
                <w:lang w:eastAsia="zh-CN"/>
              </w:rPr>
              <w:t>高温杀菌工序</w:t>
            </w:r>
            <w:r>
              <w:rPr>
                <w:rFonts w:hint="default" w:ascii="Times New Roman" w:hAnsi="Times New Roman" w:cs="Times New Roman"/>
                <w:b w:val="0"/>
                <w:bCs w:val="0"/>
                <w:color w:val="auto"/>
                <w:sz w:val="24"/>
                <w:szCs w:val="24"/>
              </w:rPr>
              <w:t>产生异味在生产车间内散溢，加强车间通风，</w:t>
            </w:r>
            <w:r>
              <w:rPr>
                <w:rFonts w:hint="default" w:ascii="Times New Roman" w:hAnsi="Times New Roman" w:cs="Times New Roman"/>
                <w:b w:val="0"/>
                <w:bCs w:val="0"/>
                <w:color w:val="auto"/>
                <w:sz w:val="24"/>
                <w:szCs w:val="24"/>
                <w:lang w:eastAsia="zh-CN"/>
              </w:rPr>
              <w:t>高温杀菌工序</w:t>
            </w:r>
            <w:r>
              <w:rPr>
                <w:rFonts w:hint="default" w:ascii="Times New Roman" w:hAnsi="Times New Roman" w:cs="Times New Roman"/>
                <w:b w:val="0"/>
                <w:bCs w:val="0"/>
                <w:color w:val="auto"/>
                <w:sz w:val="24"/>
                <w:szCs w:val="24"/>
              </w:rPr>
              <w:t>异味对外环境影响较小。厂界臭气浓度能够满足《恶臭污染物排放标准》</w:t>
            </w:r>
            <w:r>
              <w:rPr>
                <w:rFonts w:hint="default" w:ascii="Times New Roman" w:hAnsi="Times New Roman" w:cs="Times New Roman"/>
                <w:b w:val="0"/>
                <w:bCs w:val="0"/>
                <w:sz w:val="24"/>
                <w:szCs w:val="24"/>
              </w:rPr>
              <w:t>（GB14554-93）表2中臭气浓度20 (无量纲)标准限值。</w:t>
            </w:r>
          </w:p>
          <w:p>
            <w:pPr>
              <w:keepNext w:val="0"/>
              <w:keepLines w:val="0"/>
              <w:pageBreakBefore w:val="0"/>
              <w:widowControl w:val="0"/>
              <w:kinsoku/>
              <w:wordWrap/>
              <w:overflowPunct/>
              <w:topLinePunct w:val="0"/>
              <w:autoSpaceDE/>
              <w:autoSpaceDN/>
              <w:bidi w:val="0"/>
              <w:adjustRightInd/>
              <w:snapToGrid/>
              <w:spacing w:line="360" w:lineRule="auto"/>
              <w:ind w:firstLine="439" w:firstLineChars="183"/>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灰渣储存</w:t>
            </w:r>
            <w:r>
              <w:rPr>
                <w:rFonts w:hint="default" w:ascii="Times New Roman" w:hAnsi="Times New Roman" w:eastAsia="宋体" w:cs="Times New Roman"/>
                <w:b w:val="0"/>
                <w:bCs w:val="0"/>
                <w:color w:val="auto"/>
                <w:sz w:val="24"/>
                <w:szCs w:val="24"/>
                <w:highlight w:val="none"/>
                <w:lang w:eastAsia="zh-CN"/>
              </w:rPr>
              <w:t>产生的</w:t>
            </w:r>
            <w:r>
              <w:rPr>
                <w:rFonts w:hint="default" w:ascii="Times New Roman" w:hAnsi="Times New Roman" w:eastAsia="宋体" w:cs="Times New Roman"/>
                <w:b w:val="0"/>
                <w:bCs w:val="0"/>
                <w:color w:val="auto"/>
                <w:sz w:val="24"/>
                <w:szCs w:val="24"/>
                <w:highlight w:val="none"/>
              </w:rPr>
              <w:t>粉尘</w:t>
            </w:r>
          </w:p>
          <w:p>
            <w:pPr>
              <w:keepNext w:val="0"/>
              <w:keepLines w:val="0"/>
              <w:pageBreakBefore w:val="0"/>
              <w:widowControl w:val="0"/>
              <w:kinsoku/>
              <w:wordWrap/>
              <w:overflowPunct/>
              <w:topLinePunct w:val="0"/>
              <w:autoSpaceDE/>
              <w:autoSpaceDN/>
              <w:bidi w:val="0"/>
              <w:adjustRightInd/>
              <w:snapToGrid/>
              <w:spacing w:line="360" w:lineRule="auto"/>
              <w:ind w:firstLine="439" w:firstLineChars="183"/>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本项目灰渣</w:t>
            </w:r>
            <w:r>
              <w:rPr>
                <w:rFonts w:hint="default" w:ascii="Times New Roman" w:hAnsi="Times New Roman" w:eastAsia="宋体" w:cs="Times New Roman"/>
                <w:b w:val="0"/>
                <w:bCs w:val="0"/>
                <w:color w:val="auto"/>
                <w:sz w:val="24"/>
                <w:szCs w:val="24"/>
                <w:highlight w:val="none"/>
                <w:lang w:eastAsia="zh-CN"/>
              </w:rPr>
              <w:t>间</w:t>
            </w:r>
            <w:r>
              <w:rPr>
                <w:rFonts w:hint="default" w:ascii="Times New Roman" w:hAnsi="Times New Roman" w:eastAsia="宋体" w:cs="Times New Roman"/>
                <w:b w:val="0"/>
                <w:bCs w:val="0"/>
                <w:color w:val="auto"/>
                <w:sz w:val="24"/>
                <w:szCs w:val="24"/>
                <w:highlight w:val="none"/>
              </w:rPr>
              <w:t>位于锅炉房内</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灰渣由封闭汽车外运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灰渣间采用喷洒水降尘，处理</w:t>
            </w:r>
            <w:r>
              <w:rPr>
                <w:rFonts w:hint="default" w:ascii="Times New Roman" w:hAnsi="Times New Roman" w:eastAsia="宋体" w:cs="Times New Roman"/>
                <w:b w:val="0"/>
                <w:bCs w:val="0"/>
                <w:color w:val="auto"/>
                <w:sz w:val="24"/>
                <w:szCs w:val="24"/>
                <w:highlight w:val="none"/>
              </w:rPr>
              <w:t>效率</w:t>
            </w:r>
            <w:r>
              <w:rPr>
                <w:rFonts w:hint="default" w:ascii="Times New Roman" w:hAnsi="Times New Roman" w:eastAsia="宋体" w:cs="Times New Roman"/>
                <w:b w:val="0"/>
                <w:bCs w:val="0"/>
                <w:color w:val="auto"/>
                <w:sz w:val="24"/>
                <w:szCs w:val="24"/>
                <w:highlight w:val="none"/>
                <w:lang w:val="en-US" w:eastAsia="zh-CN"/>
              </w:rPr>
              <w:t>70</w:t>
            </w:r>
            <w:r>
              <w:rPr>
                <w:rFonts w:hint="default" w:ascii="Times New Roman" w:hAnsi="Times New Roman" w:eastAsia="宋体" w:cs="Times New Roman"/>
                <w:b w:val="0"/>
                <w:bCs w:val="0"/>
                <w:color w:val="auto"/>
                <w:sz w:val="24"/>
                <w:szCs w:val="24"/>
                <w:highlight w:val="none"/>
              </w:rPr>
              <w:t>%。参照《逸散性工业粉尘控制技术》电厂转运及运输过程中粉尘产生情况，即0.02kg/t转运量～0.5kg/t转运量，本项目以0.</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kg/t转运量估算</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本项目</w:t>
            </w:r>
            <w:r>
              <w:rPr>
                <w:rFonts w:hint="default" w:ascii="Times New Roman" w:hAnsi="Times New Roman" w:eastAsia="宋体" w:cs="Times New Roman"/>
                <w:b w:val="0"/>
                <w:bCs w:val="0"/>
                <w:color w:val="auto"/>
                <w:sz w:val="24"/>
                <w:szCs w:val="24"/>
                <w:highlight w:val="none"/>
                <w:lang w:val="en-US" w:eastAsia="zh-CN"/>
              </w:rPr>
              <w:t>灰渣产生量</w:t>
            </w:r>
            <w:r>
              <w:rPr>
                <w:rFonts w:hint="default" w:ascii="Times New Roman" w:hAnsi="Times New Roman" w:eastAsia="宋体"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98.0</w:t>
            </w:r>
            <w:r>
              <w:rPr>
                <w:rFonts w:hint="default" w:ascii="Times New Roman" w:hAnsi="Times New Roman" w:eastAsia="宋体" w:cs="Times New Roman"/>
                <w:b w:val="0"/>
                <w:bCs w:val="0"/>
                <w:color w:val="auto"/>
                <w:sz w:val="24"/>
                <w:szCs w:val="24"/>
                <w:highlight w:val="none"/>
                <w:lang w:val="en-US" w:eastAsia="zh-CN"/>
              </w:rPr>
              <w:t>t/a</w:t>
            </w:r>
            <w:r>
              <w:rPr>
                <w:rFonts w:hint="default" w:ascii="Times New Roman" w:hAnsi="Times New Roman" w:eastAsia="宋体" w:cs="Times New Roman"/>
                <w:b w:val="0"/>
                <w:bCs w:val="0"/>
                <w:color w:val="auto"/>
                <w:sz w:val="24"/>
                <w:szCs w:val="24"/>
                <w:highlight w:val="none"/>
              </w:rPr>
              <w:t>，灰渣储存过程中粉尘产生量为</w:t>
            </w:r>
            <w:r>
              <w:rPr>
                <w:rFonts w:hint="eastAsia" w:cs="Times New Roman"/>
                <w:b w:val="0"/>
                <w:bCs w:val="0"/>
                <w:color w:val="auto"/>
                <w:sz w:val="24"/>
                <w:szCs w:val="24"/>
                <w:highlight w:val="none"/>
                <w:lang w:val="en-US" w:eastAsia="zh-CN"/>
              </w:rPr>
              <w:t>0.049</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cs="Times New Roman"/>
                <w:b w:val="0"/>
                <w:bCs w:val="0"/>
                <w:color w:val="auto"/>
                <w:sz w:val="24"/>
                <w:szCs w:val="24"/>
                <w:highlight w:val="none"/>
                <w:lang w:eastAsia="zh-CN"/>
              </w:rPr>
              <w:t>（</w:t>
            </w:r>
            <w:r>
              <w:rPr>
                <w:rFonts w:hint="eastAsia" w:cs="Times New Roman"/>
                <w:b w:val="0"/>
                <w:bCs w:val="0"/>
                <w:color w:val="auto"/>
                <w:sz w:val="24"/>
                <w:szCs w:val="24"/>
                <w:highlight w:val="none"/>
                <w:lang w:eastAsia="zh-CN"/>
              </w:rPr>
              <w:t>0.034</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经处理后</w:t>
            </w:r>
            <w:r>
              <w:rPr>
                <w:rFonts w:hint="default" w:ascii="Times New Roman" w:hAnsi="Times New Roman" w:eastAsia="宋体" w:cs="Times New Roman"/>
                <w:b w:val="0"/>
                <w:bCs w:val="0"/>
                <w:color w:val="auto"/>
                <w:sz w:val="24"/>
                <w:szCs w:val="24"/>
                <w:highlight w:val="none"/>
              </w:rPr>
              <w:t>粉尘</w:t>
            </w:r>
            <w:r>
              <w:rPr>
                <w:rFonts w:hint="default" w:ascii="Times New Roman" w:hAnsi="Times New Roman" w:eastAsia="宋体" w:cs="Times New Roman"/>
                <w:b w:val="0"/>
                <w:bCs w:val="0"/>
                <w:color w:val="auto"/>
                <w:sz w:val="24"/>
                <w:szCs w:val="24"/>
                <w:highlight w:val="none"/>
                <w:lang w:val="en-US" w:eastAsia="zh-CN"/>
              </w:rPr>
              <w:t>排放</w:t>
            </w:r>
            <w:r>
              <w:rPr>
                <w:rFonts w:hint="default" w:ascii="Times New Roman" w:hAnsi="Times New Roman" w:eastAsia="宋体" w:cs="Times New Roman"/>
                <w:b w:val="0"/>
                <w:bCs w:val="0"/>
                <w:color w:val="auto"/>
                <w:sz w:val="24"/>
                <w:szCs w:val="24"/>
                <w:highlight w:val="none"/>
              </w:rPr>
              <w:t>量为</w:t>
            </w:r>
            <w:r>
              <w:rPr>
                <w:rFonts w:hint="eastAsia" w:cs="Times New Roman"/>
                <w:b w:val="0"/>
                <w:bCs w:val="0"/>
                <w:color w:val="auto"/>
                <w:sz w:val="24"/>
                <w:szCs w:val="24"/>
                <w:highlight w:val="none"/>
                <w:lang w:val="en-US" w:eastAsia="zh-CN"/>
              </w:rPr>
              <w:t>0.015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cs="Times New Roman"/>
                <w:b w:val="0"/>
                <w:bCs w:val="0"/>
                <w:color w:val="auto"/>
                <w:sz w:val="24"/>
                <w:szCs w:val="24"/>
                <w:highlight w:val="none"/>
                <w:lang w:eastAsia="zh-CN"/>
              </w:rPr>
              <w:t>（</w:t>
            </w:r>
            <w:r>
              <w:rPr>
                <w:rFonts w:hint="eastAsia" w:cs="Times New Roman"/>
                <w:b w:val="0"/>
                <w:bCs w:val="0"/>
                <w:color w:val="auto"/>
                <w:sz w:val="24"/>
                <w:szCs w:val="24"/>
                <w:highlight w:val="none"/>
                <w:lang w:eastAsia="zh-CN"/>
              </w:rPr>
              <w:t>0.01</w:t>
            </w:r>
            <w:r>
              <w:rPr>
                <w:rFonts w:hint="default" w:ascii="Times New Roman" w:hAnsi="Times New Roman" w:eastAsia="宋体" w:cs="Times New Roman"/>
                <w:b w:val="0"/>
                <w:bCs w:val="0"/>
                <w:color w:val="auto"/>
                <w:sz w:val="24"/>
                <w:szCs w:val="24"/>
                <w:highlight w:val="none"/>
              </w:rPr>
              <w:t>kg/h</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eastAsia="zh-CN"/>
              </w:rPr>
              <w:t>。</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4</w:t>
            </w:r>
            <w:r>
              <w:rPr>
                <w:rFonts w:hint="default" w:ascii="Times New Roman" w:hAnsi="Times New Roman" w:cs="Times New Roman"/>
                <w:b w:val="0"/>
                <w:bCs w:val="0"/>
                <w:sz w:val="24"/>
                <w:szCs w:val="24"/>
              </w:rPr>
              <w:t>）食堂油烟</w:t>
            </w:r>
          </w:p>
          <w:p>
            <w:pPr>
              <w:keepNext w:val="0"/>
              <w:keepLines w:val="0"/>
              <w:pageBreakBefore w:val="0"/>
              <w:widowControl w:val="0"/>
              <w:kinsoku/>
              <w:wordWrap/>
              <w:overflowPunct/>
              <w:topLinePunct w:val="0"/>
              <w:autoSpaceDE/>
              <w:autoSpaceDN/>
              <w:bidi w:val="0"/>
              <w:adjustRightInd/>
              <w:snapToGrid/>
              <w:spacing w:line="360" w:lineRule="auto"/>
              <w:ind w:firstLine="439" w:firstLineChars="183"/>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rPr>
              <w:t>本项目食堂参照《饮食业油烟排放标准（试行）》（GB18483-2001）的规定，</w:t>
            </w:r>
            <w:r>
              <w:rPr>
                <w:rFonts w:hint="default" w:ascii="Times New Roman" w:hAnsi="Times New Roman" w:cs="Times New Roman"/>
                <w:b w:val="0"/>
                <w:bCs w:val="0"/>
                <w:color w:val="auto"/>
                <w:sz w:val="24"/>
                <w:szCs w:val="24"/>
                <w:highlight w:val="none"/>
              </w:rPr>
              <w:t>食堂设</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个灶头，</w:t>
            </w:r>
            <w:r>
              <w:rPr>
                <w:rFonts w:hint="default" w:ascii="Times New Roman" w:hAnsi="Times New Roman" w:cs="Times New Roman"/>
                <w:b w:val="0"/>
                <w:bCs w:val="0"/>
                <w:color w:val="auto"/>
                <w:sz w:val="24"/>
                <w:szCs w:val="24"/>
              </w:rPr>
              <w:t>属于</w:t>
            </w:r>
            <w:r>
              <w:rPr>
                <w:rFonts w:hint="default" w:ascii="Times New Roman" w:hAnsi="Times New Roman" w:cs="Times New Roman"/>
                <w:b w:val="0"/>
                <w:bCs w:val="0"/>
                <w:color w:val="auto"/>
                <w:sz w:val="24"/>
                <w:szCs w:val="24"/>
                <w:lang w:val="en-US" w:eastAsia="zh-CN"/>
              </w:rPr>
              <w:t>中</w:t>
            </w:r>
            <w:r>
              <w:rPr>
                <w:rFonts w:hint="default" w:ascii="Times New Roman" w:hAnsi="Times New Roman" w:cs="Times New Roman"/>
                <w:b w:val="0"/>
                <w:bCs w:val="0"/>
                <w:color w:val="auto"/>
                <w:sz w:val="24"/>
                <w:szCs w:val="24"/>
              </w:rPr>
              <w:t>型饮食业单位。</w:t>
            </w:r>
            <w:r>
              <w:rPr>
                <w:rFonts w:hint="default" w:ascii="Times New Roman" w:hAnsi="Times New Roman" w:cs="Times New Roman"/>
                <w:b w:val="0"/>
                <w:bCs w:val="0"/>
                <w:color w:val="auto"/>
                <w:sz w:val="24"/>
                <w:szCs w:val="24"/>
                <w:highlight w:val="none"/>
              </w:rPr>
              <w:t>就餐人数</w:t>
            </w:r>
            <w:r>
              <w:rPr>
                <w:rFonts w:hint="default" w:ascii="Times New Roman" w:hAnsi="Times New Roman"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0人，食堂油量按</w:t>
            </w:r>
            <w:r>
              <w:rPr>
                <w:rFonts w:hint="default" w:ascii="Times New Roman" w:hAnsi="Times New Roman" w:cs="Times New Roman"/>
                <w:b w:val="0"/>
                <w:bCs w:val="0"/>
                <w:color w:val="auto"/>
                <w:sz w:val="24"/>
                <w:szCs w:val="24"/>
              </w:rPr>
              <w:t>0.03kg/人·天</w:t>
            </w:r>
            <w:r>
              <w:rPr>
                <w:rFonts w:hint="default" w:ascii="Times New Roman" w:hAnsi="Times New Roman" w:cs="Times New Roman"/>
                <w:b w:val="0"/>
                <w:bCs w:val="0"/>
                <w:color w:val="auto"/>
                <w:sz w:val="24"/>
                <w:szCs w:val="24"/>
                <w:highlight w:val="none"/>
              </w:rPr>
              <w:t>计，运营期为</w:t>
            </w:r>
            <w:r>
              <w:rPr>
                <w:rFonts w:hint="default" w:ascii="Times New Roman" w:hAnsi="Times New Roman" w:cs="Times New Roman"/>
                <w:b w:val="0"/>
                <w:bCs w:val="0"/>
                <w:color w:val="auto"/>
                <w:sz w:val="24"/>
                <w:szCs w:val="24"/>
                <w:highlight w:val="none"/>
                <w:lang w:val="en-US" w:eastAsia="zh-CN"/>
              </w:rPr>
              <w:t>60</w:t>
            </w:r>
            <w:r>
              <w:rPr>
                <w:rFonts w:hint="default" w:ascii="Times New Roman" w:hAnsi="Times New Roman" w:cs="Times New Roman"/>
                <w:b w:val="0"/>
                <w:bCs w:val="0"/>
                <w:color w:val="auto"/>
                <w:sz w:val="24"/>
                <w:szCs w:val="24"/>
                <w:highlight w:val="none"/>
              </w:rPr>
              <w:t>天，则总耗油量</w:t>
            </w:r>
            <w:r>
              <w:rPr>
                <w:rFonts w:hint="default" w:ascii="Times New Roman" w:hAnsi="Times New Roman" w:cs="Times New Roman"/>
                <w:b w:val="0"/>
                <w:bCs w:val="0"/>
                <w:color w:val="auto"/>
                <w:sz w:val="24"/>
                <w:szCs w:val="24"/>
                <w:highlight w:val="none"/>
                <w:lang w:val="en-US" w:eastAsia="zh-CN"/>
              </w:rPr>
              <w:t>360</w:t>
            </w:r>
            <w:r>
              <w:rPr>
                <w:rFonts w:hint="default" w:ascii="Times New Roman" w:hAnsi="Times New Roman" w:cs="Times New Roman"/>
                <w:b w:val="0"/>
                <w:bCs w:val="0"/>
                <w:color w:val="auto"/>
                <w:sz w:val="24"/>
                <w:szCs w:val="24"/>
                <w:highlight w:val="none"/>
              </w:rPr>
              <w:t>kg/a。</w:t>
            </w:r>
            <w:r>
              <w:rPr>
                <w:rFonts w:hint="default" w:ascii="Times New Roman" w:hAnsi="Times New Roman" w:cs="Times New Roman"/>
                <w:b w:val="0"/>
                <w:bCs w:val="0"/>
                <w:color w:val="auto"/>
                <w:sz w:val="24"/>
                <w:szCs w:val="24"/>
              </w:rPr>
              <w:t>不同的烧炸工况下油烟气中烟气浓度及挥发量均有所不同，因此油的平均挥发量为总耗油量的2%</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highlight w:val="none"/>
              </w:rPr>
              <w:t>挥发量约为</w:t>
            </w:r>
            <w:r>
              <w:rPr>
                <w:rFonts w:hint="default" w:ascii="Times New Roman" w:hAnsi="Times New Roman" w:cs="Times New Roman"/>
                <w:b w:val="0"/>
                <w:bCs w:val="0"/>
                <w:color w:val="auto"/>
                <w:sz w:val="24"/>
                <w:szCs w:val="24"/>
                <w:highlight w:val="none"/>
                <w:lang w:val="en-US" w:eastAsia="zh-CN"/>
              </w:rPr>
              <w:t>0.0072t</w:t>
            </w:r>
            <w:r>
              <w:rPr>
                <w:rFonts w:hint="default" w:ascii="Times New Roman" w:hAnsi="Times New Roman" w:cs="Times New Roman"/>
                <w:b w:val="0"/>
                <w:bCs w:val="0"/>
                <w:color w:val="auto"/>
                <w:sz w:val="24"/>
                <w:szCs w:val="24"/>
                <w:highlight w:val="none"/>
              </w:rPr>
              <w:t>/a。烹饪时间按</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rPr>
              <w:t>h/d计，灶头基准总排风量按</w:t>
            </w:r>
            <w:r>
              <w:rPr>
                <w:rFonts w:hint="default" w:ascii="Times New Roman" w:hAnsi="Times New Roman" w:cs="Times New Roman"/>
                <w:b w:val="0"/>
                <w:bCs w:val="0"/>
                <w:color w:val="auto"/>
                <w:sz w:val="24"/>
                <w:szCs w:val="24"/>
                <w:highlight w:val="none"/>
                <w:lang w:val="en-US" w:eastAsia="zh-CN"/>
              </w:rPr>
              <w:t>60</w:t>
            </w:r>
            <w:r>
              <w:rPr>
                <w:rFonts w:hint="default" w:ascii="Times New Roman" w:hAnsi="Times New Roman" w:cs="Times New Roman"/>
                <w:b w:val="0"/>
                <w:bCs w:val="0"/>
                <w:color w:val="auto"/>
                <w:sz w:val="24"/>
                <w:szCs w:val="24"/>
                <w:highlight w:val="none"/>
              </w:rPr>
              <w:t>00m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/h计，则油烟产生量为0.0</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kg/h、产生浓度</w:t>
            </w:r>
            <w:r>
              <w:rPr>
                <w:rFonts w:hint="default" w:ascii="Times New Roman" w:hAnsi="Times New Roman" w:cs="Times New Roman"/>
                <w:b w:val="0"/>
                <w:bCs w:val="0"/>
                <w:color w:val="auto"/>
                <w:sz w:val="24"/>
                <w:szCs w:val="24"/>
                <w:highlight w:val="none"/>
                <w:lang w:val="en-US" w:eastAsia="zh-CN"/>
              </w:rPr>
              <w:t>6.67</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。采用油烟净化设施对食堂油烟进行处理，油烟净化设施净化效率按</w:t>
            </w:r>
            <w:r>
              <w:rPr>
                <w:rFonts w:hint="default" w:ascii="Times New Roman" w:hAnsi="Times New Roman" w:cs="Times New Roman"/>
                <w:b w:val="0"/>
                <w:bCs w:val="0"/>
                <w:color w:val="auto"/>
                <w:sz w:val="24"/>
                <w:szCs w:val="24"/>
                <w:highlight w:val="none"/>
                <w:lang w:val="en-US" w:eastAsia="zh-CN"/>
              </w:rPr>
              <w:t>75</w:t>
            </w:r>
            <w:r>
              <w:rPr>
                <w:rFonts w:hint="default" w:ascii="Times New Roman" w:hAnsi="Times New Roman" w:cs="Times New Roman"/>
                <w:b w:val="0"/>
                <w:bCs w:val="0"/>
                <w:color w:val="auto"/>
                <w:sz w:val="24"/>
                <w:szCs w:val="24"/>
                <w:highlight w:val="none"/>
              </w:rPr>
              <w:t>%计，</w:t>
            </w:r>
            <w:r>
              <w:rPr>
                <w:rFonts w:hint="default" w:ascii="Times New Roman" w:hAnsi="Times New Roman" w:cs="Times New Roman"/>
                <w:b w:val="0"/>
                <w:bCs w:val="0"/>
                <w:color w:val="auto"/>
                <w:sz w:val="24"/>
                <w:szCs w:val="24"/>
              </w:rPr>
              <w:t>油烟废气经过油烟净化器进行治理后油烟排放浓度约为</w:t>
            </w:r>
            <w:r>
              <w:rPr>
                <w:rFonts w:hint="eastAsia" w:cs="Times New Roman"/>
                <w:b w:val="0"/>
                <w:bCs w:val="0"/>
                <w:color w:val="auto"/>
                <w:sz w:val="24"/>
                <w:szCs w:val="24"/>
                <w:lang w:val="en-US" w:eastAsia="zh-CN"/>
              </w:rPr>
              <w:t>1.67</w:t>
            </w:r>
            <w:r>
              <w:rPr>
                <w:rFonts w:hint="default" w:ascii="Times New Roman" w:hAnsi="Times New Roman" w:cs="Times New Roman"/>
                <w:b w:val="0"/>
                <w:bCs w:val="0"/>
                <w:color w:val="auto"/>
                <w:sz w:val="24"/>
                <w:szCs w:val="24"/>
              </w:rPr>
              <w:t>mg/m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，排放量为0.00</w:t>
            </w:r>
            <w:r>
              <w:rPr>
                <w:rFonts w:hint="default" w:ascii="Times New Roman" w:hAnsi="Times New Roman" w:cs="Times New Roman"/>
                <w:b w:val="0"/>
                <w:bCs w:val="0"/>
                <w:color w:val="auto"/>
                <w:sz w:val="24"/>
                <w:szCs w:val="24"/>
                <w:lang w:val="en-US" w:eastAsia="zh-CN"/>
              </w:rPr>
              <w:t>18</w:t>
            </w:r>
            <w:r>
              <w:rPr>
                <w:rFonts w:hint="default" w:ascii="Times New Roman" w:hAnsi="Times New Roman" w:cs="Times New Roman"/>
                <w:b w:val="0"/>
                <w:bCs w:val="0"/>
                <w:color w:val="auto"/>
                <w:sz w:val="24"/>
                <w:szCs w:val="24"/>
              </w:rPr>
              <w:t>t/a。</w:t>
            </w:r>
            <w:r>
              <w:rPr>
                <w:rFonts w:hint="default" w:ascii="Times New Roman" w:hAnsi="Times New Roman" w:cs="Times New Roman"/>
                <w:b w:val="0"/>
                <w:bCs w:val="0"/>
                <w:color w:val="auto"/>
                <w:sz w:val="24"/>
                <w:szCs w:val="24"/>
                <w:highlight w:val="none"/>
              </w:rPr>
              <w:t>满足《饮食业油烟排放标准（试行）》（GB18483-2001）中2.0mg/m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标准限值规定。</w:t>
            </w:r>
            <w:r>
              <w:rPr>
                <w:rFonts w:hint="default" w:ascii="Times New Roman" w:hAnsi="Times New Roman" w:cs="Times New Roman"/>
                <w:b w:val="0"/>
                <w:bCs w:val="0"/>
                <w:color w:val="auto"/>
                <w:sz w:val="24"/>
                <w:szCs w:val="24"/>
              </w:rPr>
              <w:t>油烟通过专业排气筒附屋顶排放，对周边环境空气影响较小。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1.2 非正常工况</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非正常排放是指装置在生产运行阶段的停电、停车检修维护和环保设施故障中产生的“三废”排放等情况。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本项目建成后，锅炉烟气的废气处理设施为布袋除尘器+</w:t>
            </w:r>
            <w:r>
              <w:rPr>
                <w:rFonts w:hint="default" w:ascii="Times New Roman" w:hAnsi="Times New Roman"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5m烟囱</w:t>
            </w:r>
            <w:r>
              <w:rPr>
                <w:rFonts w:hint="default" w:ascii="Times New Roman" w:hAnsi="Times New Roman" w:cs="Times New Roman"/>
                <w:b w:val="0"/>
                <w:bCs w:val="0"/>
                <w:color w:val="auto"/>
                <w:sz w:val="24"/>
                <w:szCs w:val="24"/>
                <w:highlight w:val="none"/>
              </w:rPr>
              <w:t>。非正常</w:t>
            </w:r>
            <w:r>
              <w:rPr>
                <w:rFonts w:hint="default" w:ascii="Times New Roman" w:hAnsi="Times New Roman" w:cs="Times New Roman"/>
                <w:b w:val="0"/>
                <w:bCs w:val="0"/>
                <w:color w:val="auto"/>
                <w:sz w:val="24"/>
                <w:szCs w:val="24"/>
                <w:highlight w:val="none"/>
                <w:lang w:val="en-US" w:eastAsia="zh-CN"/>
              </w:rPr>
              <w:t>工况</w:t>
            </w:r>
            <w:r>
              <w:rPr>
                <w:rFonts w:hint="default" w:ascii="Times New Roman" w:hAnsi="Times New Roman" w:cs="Times New Roman"/>
                <w:b w:val="0"/>
                <w:bCs w:val="0"/>
                <w:color w:val="auto"/>
                <w:sz w:val="24"/>
                <w:szCs w:val="24"/>
                <w:highlight w:val="none"/>
              </w:rPr>
              <w:t>排放见表4-</w:t>
            </w: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rPr>
              <w:t>。</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w:t>
            </w:r>
            <w:r>
              <w:rPr>
                <w:rFonts w:hint="eastAsia" w:ascii="Times New Roman" w:hAnsi="Times New Roman" w:cs="Times New Roman" w:eastAsiaTheme="minorEastAsia"/>
                <w:b/>
                <w:bCs/>
                <w:color w:val="auto"/>
                <w:sz w:val="21"/>
                <w:szCs w:val="24"/>
                <w:lang w:val="en-US" w:eastAsia="zh-CN"/>
              </w:rPr>
              <w:t>2</w:t>
            </w:r>
            <w:r>
              <w:rPr>
                <w:rFonts w:hint="default" w:ascii="Times New Roman" w:hAnsi="Times New Roman" w:cs="Times New Roman" w:eastAsiaTheme="minorEastAsia"/>
                <w:b/>
                <w:bCs/>
                <w:color w:val="auto"/>
                <w:sz w:val="21"/>
                <w:szCs w:val="24"/>
                <w:lang w:val="en-US" w:eastAsia="zh-CN"/>
              </w:rPr>
              <w:t xml:space="preserve"> 本项目非正常工况下污染物排放状况一览表</w:t>
            </w:r>
          </w:p>
          <w:tbl>
            <w:tblPr>
              <w:tblStyle w:val="32"/>
              <w:tblW w:w="498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6"/>
              <w:gridCol w:w="2027"/>
              <w:gridCol w:w="1051"/>
              <w:gridCol w:w="1113"/>
              <w:gridCol w:w="1163"/>
              <w:gridCol w:w="950"/>
              <w:gridCol w:w="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69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排放源</w:t>
                  </w:r>
                </w:p>
              </w:tc>
              <w:tc>
                <w:tcPr>
                  <w:tcW w:w="122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排放原因</w:t>
                  </w:r>
                </w:p>
              </w:tc>
              <w:tc>
                <w:tcPr>
                  <w:tcW w:w="63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67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非正常排放浓度/mg/m</w:t>
                  </w:r>
                  <w:r>
                    <w:rPr>
                      <w:rFonts w:hint="default" w:ascii="Times New Roman" w:hAnsi="Times New Roman" w:cs="Times New Roman"/>
                      <w:color w:val="auto"/>
                      <w:sz w:val="21"/>
                      <w:szCs w:val="21"/>
                      <w:highlight w:val="none"/>
                      <w:vertAlign w:val="superscript"/>
                    </w:rPr>
                    <w:t>3</w:t>
                  </w:r>
                </w:p>
              </w:tc>
              <w:tc>
                <w:tcPr>
                  <w:tcW w:w="70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非正常排放速率/kg/h</w:t>
                  </w:r>
                </w:p>
              </w:tc>
              <w:tc>
                <w:tcPr>
                  <w:tcW w:w="57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单次持续时间/h</w:t>
                  </w:r>
                </w:p>
              </w:tc>
              <w:tc>
                <w:tcPr>
                  <w:tcW w:w="488"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年发生频次/次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4" w:hRule="atLeast"/>
              </w:trPr>
              <w:tc>
                <w:tcPr>
                  <w:tcW w:w="699" w:type="pct"/>
                  <w:vMerge w:val="restart"/>
                  <w:noWrap w:val="0"/>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6t/h</w:t>
                  </w:r>
                  <w:r>
                    <w:rPr>
                      <w:rFonts w:hint="default" w:ascii="Times New Roman" w:hAnsi="Times New Roman" w:cs="Times New Roman"/>
                      <w:color w:val="auto"/>
                      <w:sz w:val="21"/>
                      <w:szCs w:val="21"/>
                      <w:highlight w:val="none"/>
                      <w:lang w:val="en-US" w:eastAsia="zh-CN"/>
                    </w:rPr>
                    <w:t>燃生物质蒸汽锅炉烟囱DA001</w:t>
                  </w:r>
                </w:p>
              </w:tc>
              <w:tc>
                <w:tcPr>
                  <w:tcW w:w="1225"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布袋除尘器+</w:t>
                  </w:r>
                  <w:r>
                    <w:rPr>
                      <w:rFonts w:hint="default" w:ascii="Times New Roman" w:hAnsi="Times New Roman" w:cs="Times New Roman"/>
                      <w:i w:val="0"/>
                      <w:iCs w:val="0"/>
                      <w:color w:val="auto"/>
                      <w:kern w:val="0"/>
                      <w:sz w:val="21"/>
                      <w:szCs w:val="21"/>
                      <w:highlight w:val="none"/>
                      <w:u w:val="none"/>
                      <w:lang w:val="en-US" w:eastAsia="zh-CN" w:bidi="ar"/>
                    </w:rPr>
                    <w:t>35m</w:t>
                  </w:r>
                  <w:r>
                    <w:rPr>
                      <w:rFonts w:hint="default" w:ascii="Times New Roman" w:hAnsi="Times New Roman" w:eastAsia="宋体" w:cs="Times New Roman"/>
                      <w:i w:val="0"/>
                      <w:iCs w:val="0"/>
                      <w:color w:val="auto"/>
                      <w:kern w:val="0"/>
                      <w:sz w:val="21"/>
                      <w:szCs w:val="21"/>
                      <w:highlight w:val="none"/>
                      <w:u w:val="none"/>
                      <w:lang w:val="en-US" w:eastAsia="zh-CN" w:bidi="ar"/>
                    </w:rPr>
                    <w:t>烟囱（除尘效率70%）</w:t>
                  </w:r>
                </w:p>
              </w:tc>
              <w:tc>
                <w:tcPr>
                  <w:tcW w:w="635" w:type="pct"/>
                  <w:tcBorders>
                    <w:top w:val="single" w:color="auto" w:sz="4" w:space="0"/>
                    <w:bottom w:val="single" w:color="auto" w:sz="4" w:space="0"/>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73"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1048.5</w:t>
                  </w:r>
                </w:p>
              </w:tc>
              <w:tc>
                <w:tcPr>
                  <w:tcW w:w="703" w:type="pct"/>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13.5</w:t>
                  </w:r>
                </w:p>
              </w:tc>
              <w:tc>
                <w:tcPr>
                  <w:tcW w:w="57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8" w:type="pct"/>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5" w:hRule="atLeast"/>
              </w:trPr>
              <w:tc>
                <w:tcPr>
                  <w:tcW w:w="699" w:type="pct"/>
                  <w:vMerge w:val="continue"/>
                  <w:noWrap w:val="0"/>
                  <w:vAlign w:val="center"/>
                </w:tcPr>
                <w:p>
                  <w:pPr>
                    <w:jc w:val="center"/>
                    <w:rPr>
                      <w:rFonts w:hint="default" w:ascii="Times New Roman" w:hAnsi="Times New Roman" w:cs="Times New Roman"/>
                      <w:color w:val="auto"/>
                      <w:sz w:val="21"/>
                      <w:szCs w:val="21"/>
                      <w:highlight w:val="none"/>
                    </w:rPr>
                  </w:pPr>
                </w:p>
              </w:tc>
              <w:tc>
                <w:tcPr>
                  <w:tcW w:w="1225" w:type="pct"/>
                  <w:vMerge w:val="continue"/>
                  <w:noWrap w:val="0"/>
                  <w:vAlign w:val="center"/>
                </w:tcPr>
                <w:p>
                  <w:pPr>
                    <w:jc w:val="center"/>
                    <w:rPr>
                      <w:rFonts w:hint="default" w:ascii="Times New Roman" w:hAnsi="Times New Roman" w:cs="Times New Roman"/>
                      <w:color w:val="auto"/>
                      <w:sz w:val="21"/>
                      <w:szCs w:val="21"/>
                      <w:highlight w:val="none"/>
                    </w:rPr>
                  </w:pPr>
                </w:p>
              </w:tc>
              <w:tc>
                <w:tcPr>
                  <w:tcW w:w="635" w:type="pct"/>
                  <w:tcBorders>
                    <w:top w:val="single" w:color="auto" w:sz="4" w:space="0"/>
                    <w:bottom w:val="single" w:color="auto" w:sz="4" w:space="0"/>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673"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62.1</w:t>
                  </w:r>
                </w:p>
              </w:tc>
              <w:tc>
                <w:tcPr>
                  <w:tcW w:w="703" w:type="pct"/>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0.80</w:t>
                  </w:r>
                </w:p>
              </w:tc>
              <w:tc>
                <w:tcPr>
                  <w:tcW w:w="57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9" w:hRule="atLeast"/>
              </w:trPr>
              <w:tc>
                <w:tcPr>
                  <w:tcW w:w="699" w:type="pct"/>
                  <w:vMerge w:val="continue"/>
                  <w:noWrap w:val="0"/>
                  <w:vAlign w:val="center"/>
                </w:tcPr>
                <w:p>
                  <w:pPr>
                    <w:jc w:val="center"/>
                    <w:rPr>
                      <w:rFonts w:hint="default" w:ascii="Times New Roman" w:hAnsi="Times New Roman" w:cs="Times New Roman"/>
                      <w:color w:val="auto"/>
                      <w:sz w:val="21"/>
                      <w:szCs w:val="21"/>
                      <w:highlight w:val="none"/>
                    </w:rPr>
                  </w:pPr>
                </w:p>
              </w:tc>
              <w:tc>
                <w:tcPr>
                  <w:tcW w:w="1225" w:type="pct"/>
                  <w:vMerge w:val="continue"/>
                  <w:noWrap w:val="0"/>
                  <w:vAlign w:val="center"/>
                </w:tcPr>
                <w:p>
                  <w:pPr>
                    <w:jc w:val="center"/>
                    <w:rPr>
                      <w:rFonts w:hint="default" w:ascii="Times New Roman" w:hAnsi="Times New Roman" w:cs="Times New Roman"/>
                      <w:color w:val="auto"/>
                      <w:sz w:val="21"/>
                      <w:szCs w:val="21"/>
                      <w:highlight w:val="none"/>
                    </w:rPr>
                  </w:pPr>
                </w:p>
              </w:tc>
              <w:tc>
                <w:tcPr>
                  <w:tcW w:w="635" w:type="pct"/>
                  <w:tcBorders>
                    <w:top w:val="single" w:color="auto" w:sz="4" w:space="0"/>
                    <w:bottom w:val="single" w:color="auto" w:sz="4" w:space="0"/>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p>
              </w:tc>
              <w:tc>
                <w:tcPr>
                  <w:tcW w:w="1113"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i w:val="0"/>
                      <w:iCs w:val="0"/>
                      <w:color w:val="auto"/>
                      <w:kern w:val="0"/>
                      <w:sz w:val="21"/>
                      <w:szCs w:val="21"/>
                      <w:highlight w:val="none"/>
                      <w:u w:val="none"/>
                      <w:lang w:val="en-US" w:eastAsia="zh-CN" w:bidi="ar"/>
                    </w:rPr>
                    <w:t>180</w:t>
                  </w:r>
                </w:p>
              </w:tc>
              <w:tc>
                <w:tcPr>
                  <w:tcW w:w="1163"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2.32</w:t>
                  </w:r>
                </w:p>
              </w:tc>
              <w:tc>
                <w:tcPr>
                  <w:tcW w:w="57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8"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bl>
          <w:p>
            <w:pPr>
              <w:adjustRightInd w:val="0"/>
              <w:snapToGrid w:val="0"/>
              <w:spacing w:line="360" w:lineRule="auto"/>
              <w:ind w:firstLine="576" w:firstLineChars="24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由以上分析可知，当废气处理设施故障，出现非正常排放时，其污染物的排放量远远大于正常工况污染物的排放量，烟尘浓度将大幅增加，因此，企业应采取有效的环保安全措施，如下：</w:t>
            </w:r>
          </w:p>
          <w:p>
            <w:pPr>
              <w:adjustRightInd w:val="0"/>
              <w:snapToGrid w:val="0"/>
              <w:spacing w:line="360" w:lineRule="auto"/>
              <w:ind w:firstLine="576" w:firstLineChars="24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①定期加强设备检查及检修等。</w:t>
            </w:r>
          </w:p>
          <w:p>
            <w:pPr>
              <w:adjustRightInd w:val="0"/>
              <w:snapToGrid w:val="0"/>
              <w:spacing w:line="360" w:lineRule="auto"/>
              <w:ind w:firstLine="576" w:firstLineChars="24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②一旦设备处理效率大幅降低或者失效，</w:t>
            </w:r>
            <w:r>
              <w:rPr>
                <w:rFonts w:hint="default" w:ascii="Times New Roman" w:hAnsi="Times New Roman" w:cs="Times New Roman"/>
                <w:b w:val="0"/>
                <w:bCs w:val="0"/>
                <w:color w:val="auto"/>
                <w:sz w:val="24"/>
                <w:szCs w:val="24"/>
                <w:highlight w:val="none"/>
                <w:lang w:eastAsia="zh-CN"/>
              </w:rPr>
              <w:t>企业立即停工</w:t>
            </w:r>
            <w:r>
              <w:rPr>
                <w:rFonts w:hint="default" w:ascii="Times New Roman" w:hAnsi="Times New Roman" w:cs="Times New Roman"/>
                <w:b w:val="0"/>
                <w:bCs w:val="0"/>
                <w:color w:val="auto"/>
                <w:sz w:val="24"/>
                <w:szCs w:val="24"/>
                <w:highlight w:val="none"/>
              </w:rPr>
              <w:t>检修，检修满足要求后再重新启动。</w:t>
            </w:r>
          </w:p>
          <w:p>
            <w:pPr>
              <w:spacing w:line="360" w:lineRule="auto"/>
              <w:ind w:firstLine="480" w:firstLineChars="200"/>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cs="Times New Roman"/>
                <w:b w:val="0"/>
                <w:bCs w:val="0"/>
                <w:color w:val="auto"/>
                <w:sz w:val="24"/>
                <w:szCs w:val="24"/>
                <w:highlight w:val="none"/>
              </w:rPr>
              <w:t>③加强厂区监测，落实监测计划，加强设备管理，尽量避免非正常工况下非正常排污情况发生</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1.3 废气</w:t>
            </w:r>
            <w:r>
              <w:rPr>
                <w:rFonts w:hint="default" w:ascii="Times New Roman" w:hAnsi="Times New Roman" w:cs="Times New Roman"/>
                <w:b w:val="0"/>
                <w:bCs w:val="0"/>
                <w:color w:val="auto"/>
                <w:sz w:val="24"/>
                <w:szCs w:val="24"/>
                <w:highlight w:val="none"/>
              </w:rPr>
              <w:t>排放口信息</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排放口基本信息见表4-</w:t>
            </w: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w:t>
            </w:r>
          </w:p>
          <w:p>
            <w:pPr>
              <w:pStyle w:val="68"/>
              <w:spacing w:line="240" w:lineRule="auto"/>
              <w:rPr>
                <w:rFonts w:hint="default" w:ascii="Times New Roman" w:hAnsi="Times New Roman" w:cs="Times New Roman" w:eastAsiaTheme="minorEastAsia"/>
                <w:b/>
                <w:bCs/>
                <w:color w:val="auto"/>
                <w:sz w:val="21"/>
                <w:szCs w:val="24"/>
                <w:lang w:val="en-US" w:eastAsia="zh-CN"/>
              </w:rPr>
            </w:pPr>
          </w:p>
          <w:p>
            <w:pPr>
              <w:pStyle w:val="68"/>
              <w:spacing w:line="240" w:lineRule="auto"/>
              <w:rPr>
                <w:rFonts w:hint="default" w:ascii="Times New Roman" w:hAnsi="Times New Roman" w:cs="Times New Roman" w:eastAsiaTheme="minorEastAsia"/>
                <w:b/>
                <w:bCs/>
                <w:color w:val="auto"/>
                <w:sz w:val="21"/>
                <w:szCs w:val="24"/>
                <w:lang w:val="en-US" w:eastAsia="zh-CN"/>
              </w:rPr>
            </w:pP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w:t>
            </w:r>
            <w:r>
              <w:rPr>
                <w:rFonts w:hint="eastAsia" w:ascii="Times New Roman" w:hAnsi="Times New Roman" w:cs="Times New Roman" w:eastAsiaTheme="minorEastAsia"/>
                <w:b/>
                <w:bCs/>
                <w:color w:val="auto"/>
                <w:sz w:val="21"/>
                <w:szCs w:val="24"/>
                <w:lang w:val="en-US" w:eastAsia="zh-CN"/>
              </w:rPr>
              <w:t>3</w:t>
            </w:r>
            <w:r>
              <w:rPr>
                <w:rFonts w:hint="default" w:ascii="Times New Roman" w:hAnsi="Times New Roman" w:cs="Times New Roman" w:eastAsiaTheme="minorEastAsia"/>
                <w:b/>
                <w:bCs/>
                <w:color w:val="auto"/>
                <w:sz w:val="21"/>
                <w:szCs w:val="24"/>
                <w:lang w:val="en-US" w:eastAsia="zh-CN"/>
              </w:rPr>
              <w:t xml:space="preserve">  排放口信息汇总表</w:t>
            </w:r>
          </w:p>
          <w:tbl>
            <w:tblPr>
              <w:tblStyle w:val="32"/>
              <w:tblW w:w="4998" w:type="pct"/>
              <w:tblInd w:w="-2"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fixed"/>
              <w:tblCellMar>
                <w:top w:w="0" w:type="dxa"/>
                <w:left w:w="28" w:type="dxa"/>
                <w:bottom w:w="0" w:type="dxa"/>
                <w:right w:w="28" w:type="dxa"/>
              </w:tblCellMar>
            </w:tblPr>
            <w:tblGrid>
              <w:gridCol w:w="760"/>
              <w:gridCol w:w="1328"/>
              <w:gridCol w:w="1374"/>
              <w:gridCol w:w="1391"/>
              <w:gridCol w:w="828"/>
              <w:gridCol w:w="682"/>
              <w:gridCol w:w="894"/>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28" w:type="dxa"/>
                  <w:bottom w:w="0" w:type="dxa"/>
                  <w:right w:w="28" w:type="dxa"/>
                </w:tblCellMar>
              </w:tblPrEx>
              <w:trPr>
                <w:trHeight w:val="292" w:hRule="atLeast"/>
              </w:trPr>
              <w:tc>
                <w:tcPr>
                  <w:tcW w:w="458" w:type="pct"/>
                  <w:vMerge w:val="restart"/>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编号</w:t>
                  </w:r>
                </w:p>
              </w:tc>
              <w:tc>
                <w:tcPr>
                  <w:tcW w:w="800"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66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49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高度/m</w:t>
                  </w:r>
                </w:p>
              </w:tc>
              <w:tc>
                <w:tcPr>
                  <w:tcW w:w="411"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内径</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rPr>
                    <w:t>）</w:t>
                  </w:r>
                </w:p>
              </w:tc>
              <w:tc>
                <w:tcPr>
                  <w:tcW w:w="53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烟气温度</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25"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管理类别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28" w:type="dxa"/>
                  <w:bottom w:w="0" w:type="dxa"/>
                  <w:right w:w="28" w:type="dxa"/>
                </w:tblCellMar>
              </w:tblPrEx>
              <w:trPr>
                <w:trHeight w:val="297" w:hRule="atLeast"/>
              </w:trPr>
              <w:tc>
                <w:tcPr>
                  <w:tcW w:w="4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80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w:t>
                  </w:r>
                </w:p>
              </w:tc>
              <w:tc>
                <w:tcPr>
                  <w:tcW w:w="8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w:t>
                  </w:r>
                </w:p>
              </w:tc>
              <w:tc>
                <w:tcPr>
                  <w:tcW w:w="49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41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53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c>
                <w:tcPr>
                  <w:tcW w:w="625"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28" w:type="dxa"/>
                  <w:bottom w:w="0" w:type="dxa"/>
                  <w:right w:w="28" w:type="dxa"/>
                </w:tblCellMar>
              </w:tblPrEx>
              <w:trPr>
                <w:trHeight w:val="532"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DA001</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6t/h</w:t>
                  </w:r>
                  <w:r>
                    <w:rPr>
                      <w:rFonts w:hint="default" w:ascii="Times New Roman" w:hAnsi="Times New Roman" w:cs="Times New Roman"/>
                      <w:color w:val="auto"/>
                      <w:sz w:val="21"/>
                      <w:szCs w:val="21"/>
                      <w:highlight w:val="none"/>
                      <w:lang w:val="en-US" w:eastAsia="zh-CN"/>
                    </w:rPr>
                    <w:t>燃生物质蒸汽锅炉烟囱</w:t>
                  </w: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127.05391067</w:t>
                  </w:r>
                </w:p>
              </w:tc>
              <w:tc>
                <w:tcPr>
                  <w:tcW w:w="8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45.23434592</w:t>
                  </w:r>
                </w:p>
              </w:tc>
              <w:tc>
                <w:tcPr>
                  <w:tcW w:w="4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w:t>
                  </w:r>
                </w:p>
              </w:tc>
              <w:tc>
                <w:tcPr>
                  <w:tcW w:w="5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6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一般</w:t>
                  </w:r>
                  <w:r>
                    <w:rPr>
                      <w:rFonts w:hint="default" w:ascii="Times New Roman" w:hAnsi="Times New Roman" w:cs="Times New Roman"/>
                      <w:color w:val="auto"/>
                      <w:sz w:val="21"/>
                      <w:szCs w:val="21"/>
                      <w:highlight w:val="none"/>
                    </w:rPr>
                    <w:t>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28" w:type="dxa"/>
                  <w:bottom w:w="0" w:type="dxa"/>
                  <w:right w:w="28" w:type="dxa"/>
                </w:tblCellMar>
              </w:tblPrEx>
              <w:trPr>
                <w:trHeight w:val="532" w:hRule="atLeast"/>
              </w:trPr>
              <w:tc>
                <w:tcPr>
                  <w:tcW w:w="4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DA002</w:t>
                  </w:r>
                </w:p>
              </w:tc>
              <w:tc>
                <w:tcPr>
                  <w:tcW w:w="8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食堂排气筒</w:t>
                  </w:r>
                </w:p>
              </w:tc>
              <w:tc>
                <w:tcPr>
                  <w:tcW w:w="8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127.05491725</w:t>
                  </w:r>
                </w:p>
              </w:tc>
              <w:tc>
                <w:tcPr>
                  <w:tcW w:w="8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45.23356970</w:t>
                  </w:r>
                </w:p>
              </w:tc>
              <w:tc>
                <w:tcPr>
                  <w:tcW w:w="4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高于屋顶</w:t>
                  </w:r>
                </w:p>
              </w:tc>
              <w:tc>
                <w:tcPr>
                  <w:tcW w:w="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5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6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r>
          </w:tbl>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 xml:space="preserve">1.4 </w:t>
            </w:r>
            <w:r>
              <w:rPr>
                <w:rFonts w:hint="default" w:ascii="Times New Roman" w:hAnsi="Times New Roman" w:cs="Times New Roman"/>
                <w:b w:val="0"/>
                <w:bCs w:val="0"/>
                <w:color w:val="auto"/>
                <w:sz w:val="24"/>
                <w:szCs w:val="24"/>
                <w:highlight w:val="none"/>
              </w:rPr>
              <w:t>污染物防治措施可行性及达标</w:t>
            </w:r>
            <w:r>
              <w:rPr>
                <w:rFonts w:hint="default" w:ascii="Times New Roman" w:hAnsi="Times New Roman" w:cs="Times New Roman"/>
                <w:b w:val="0"/>
                <w:bCs w:val="0"/>
                <w:color w:val="auto"/>
                <w:sz w:val="24"/>
                <w:szCs w:val="24"/>
                <w:highlight w:val="none"/>
                <w:lang w:val="en-US" w:eastAsia="zh-CN"/>
              </w:rPr>
              <w:t>排放情况</w:t>
            </w:r>
            <w:r>
              <w:rPr>
                <w:rFonts w:hint="default" w:ascii="Times New Roman" w:hAnsi="Times New Roman" w:cs="Times New Roman"/>
                <w:b w:val="0"/>
                <w:bCs w:val="0"/>
                <w:color w:val="auto"/>
                <w:sz w:val="24"/>
                <w:szCs w:val="24"/>
                <w:highlight w:val="none"/>
              </w:rPr>
              <w:t>分析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防治措施可行性分析</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rPr>
              <w:t>①</w:t>
            </w:r>
            <w:r>
              <w:rPr>
                <w:rFonts w:hint="default" w:ascii="Times New Roman" w:hAnsi="Times New Roman" w:cs="Times New Roman"/>
                <w:b w:val="0"/>
                <w:bCs w:val="0"/>
                <w:color w:val="auto"/>
                <w:sz w:val="24"/>
                <w:szCs w:val="24"/>
                <w:highlight w:val="none"/>
                <w:lang w:val="en-US" w:eastAsia="zh-CN"/>
              </w:rPr>
              <w:t>除尘措施</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 xml:space="preserve">根据《排污许可证申请与核发技术规范 </w:t>
            </w:r>
            <w:r>
              <w:rPr>
                <w:rFonts w:hint="default" w:ascii="Times New Roman" w:hAnsi="Times New Roman" w:cs="Times New Roman"/>
                <w:b w:val="0"/>
                <w:bCs w:val="0"/>
                <w:color w:val="auto"/>
                <w:sz w:val="24"/>
                <w:szCs w:val="24"/>
                <w:highlight w:val="none"/>
                <w:lang w:eastAsia="zh-CN"/>
              </w:rPr>
              <w:t>锅炉</w:t>
            </w:r>
            <w:r>
              <w:rPr>
                <w:rFonts w:hint="default" w:ascii="Times New Roman" w:hAnsi="Times New Roman" w:cs="Times New Roman"/>
                <w:b w:val="0"/>
                <w:bCs w:val="0"/>
                <w:color w:val="auto"/>
                <w:sz w:val="24"/>
                <w:szCs w:val="24"/>
                <w:highlight w:val="none"/>
              </w:rPr>
              <w:t>》（HJ</w:t>
            </w:r>
            <w:r>
              <w:rPr>
                <w:rFonts w:hint="default" w:ascii="Times New Roman" w:hAnsi="Times New Roman" w:cs="Times New Roman"/>
                <w:b w:val="0"/>
                <w:bCs w:val="0"/>
                <w:color w:val="auto"/>
                <w:sz w:val="24"/>
                <w:szCs w:val="24"/>
                <w:highlight w:val="none"/>
                <w:lang w:val="en-US" w:eastAsia="zh-CN"/>
              </w:rPr>
              <w:t xml:space="preserve"> 953-2018</w:t>
            </w:r>
            <w:r>
              <w:rPr>
                <w:rFonts w:hint="default" w:ascii="Times New Roman" w:hAnsi="Times New Roman" w:cs="Times New Roman"/>
                <w:b w:val="0"/>
                <w:bCs w:val="0"/>
                <w:color w:val="auto"/>
                <w:sz w:val="24"/>
                <w:szCs w:val="24"/>
                <w:highlight w:val="none"/>
              </w:rPr>
              <w:t>）</w:t>
            </w:r>
            <w:r>
              <w:rPr>
                <w:rFonts w:hint="default" w:ascii="Times New Roman" w:hAnsi="Times New Roman" w:eastAsia="宋体" w:cs="Times New Roman"/>
                <w:b w:val="0"/>
                <w:bCs w:val="0"/>
                <w:snapToGrid w:val="0"/>
                <w:color w:val="auto"/>
                <w:kern w:val="0"/>
                <w:sz w:val="24"/>
                <w:szCs w:val="24"/>
                <w:highlight w:val="none"/>
              </w:rPr>
              <w:t>，</w:t>
            </w:r>
            <w:r>
              <w:rPr>
                <w:rFonts w:hint="default" w:ascii="Times New Roman" w:hAnsi="Times New Roman" w:cs="Times New Roman"/>
                <w:b w:val="0"/>
                <w:bCs w:val="0"/>
                <w:color w:val="auto"/>
                <w:sz w:val="24"/>
                <w:szCs w:val="24"/>
                <w:highlight w:val="none"/>
                <w:lang w:val="en-US" w:eastAsia="zh-CN"/>
              </w:rPr>
              <w:t>《工业锅炉污染防治可行技术指南》(HJ 1178-2021)</w:t>
            </w:r>
            <w:r>
              <w:rPr>
                <w:rFonts w:hint="default" w:ascii="Times New Roman" w:hAnsi="Times New Roman" w:eastAsia="宋体" w:cs="Times New Roman"/>
                <w:b w:val="0"/>
                <w:bCs w:val="0"/>
                <w:snapToGrid w:val="0"/>
                <w:color w:val="auto"/>
                <w:kern w:val="0"/>
                <w:sz w:val="24"/>
                <w:szCs w:val="24"/>
                <w:highlight w:val="none"/>
              </w:rPr>
              <w:t>，本项目选用</w:t>
            </w:r>
            <w:r>
              <w:rPr>
                <w:rFonts w:hint="default" w:ascii="Times New Roman" w:hAnsi="Times New Roman" w:eastAsia="宋体" w:cs="Times New Roman"/>
                <w:b w:val="0"/>
                <w:bCs w:val="0"/>
                <w:snapToGrid w:val="0"/>
                <w:color w:val="auto"/>
                <w:kern w:val="0"/>
                <w:sz w:val="24"/>
                <w:szCs w:val="24"/>
                <w:highlight w:val="none"/>
                <w:lang w:val="en-US" w:eastAsia="zh-CN"/>
              </w:rPr>
              <w:t>的</w:t>
            </w:r>
            <w:r>
              <w:rPr>
                <w:rFonts w:hint="default" w:ascii="Times New Roman" w:hAnsi="Times New Roman" w:eastAsia="宋体" w:cs="Times New Roman"/>
                <w:b w:val="0"/>
                <w:bCs w:val="0"/>
                <w:snapToGrid w:val="0"/>
                <w:color w:val="auto"/>
                <w:kern w:val="0"/>
                <w:sz w:val="24"/>
                <w:szCs w:val="24"/>
                <w:highlight w:val="none"/>
              </w:rPr>
              <w:t>布袋除尘器除尘效率为99</w:t>
            </w:r>
            <w:r>
              <w:rPr>
                <w:rFonts w:hint="default" w:ascii="Times New Roman" w:hAnsi="Times New Roman" w:eastAsia="宋体" w:cs="Times New Roman"/>
                <w:b w:val="0"/>
                <w:bCs w:val="0"/>
                <w:snapToGrid w:val="0"/>
                <w:color w:val="auto"/>
                <w:kern w:val="0"/>
                <w:sz w:val="24"/>
                <w:szCs w:val="24"/>
                <w:highlight w:val="none"/>
                <w:lang w:val="en-US" w:eastAsia="zh-CN"/>
              </w:rPr>
              <w:t>.</w:t>
            </w:r>
            <w:r>
              <w:rPr>
                <w:rFonts w:hint="eastAsia" w:cs="Times New Roman"/>
                <w:b w:val="0"/>
                <w:bCs w:val="0"/>
                <w:snapToGrid w:val="0"/>
                <w:color w:val="auto"/>
                <w:kern w:val="0"/>
                <w:sz w:val="24"/>
                <w:szCs w:val="24"/>
                <w:highlight w:val="none"/>
                <w:lang w:val="en-US" w:eastAsia="zh-CN"/>
              </w:rPr>
              <w:t>2</w:t>
            </w:r>
            <w:r>
              <w:rPr>
                <w:rFonts w:hint="default" w:ascii="Times New Roman" w:hAnsi="Times New Roman" w:eastAsia="宋体" w:cs="Times New Roman"/>
                <w:b w:val="0"/>
                <w:bCs w:val="0"/>
                <w:snapToGrid w:val="0"/>
                <w:color w:val="auto"/>
                <w:kern w:val="0"/>
                <w:sz w:val="24"/>
                <w:szCs w:val="24"/>
                <w:highlight w:val="none"/>
              </w:rPr>
              <w:t>%，根据其结构简单，维护操作方便，可以保证高净化效率的同时价格较低，对于经济、技术方面上是可行的</w:t>
            </w:r>
            <w:r>
              <w:rPr>
                <w:rFonts w:hint="default" w:ascii="Times New Roman" w:hAnsi="Times New Roman" w:eastAsia="宋体" w:cs="Times New Roman"/>
                <w:b w:val="0"/>
                <w:bCs w:val="0"/>
                <w:color w:val="auto"/>
                <w:sz w:val="24"/>
                <w:szCs w:val="24"/>
                <w:highlight w:val="none"/>
              </w:rPr>
              <w:t>。</w:t>
            </w:r>
          </w:p>
          <w:p>
            <w:pPr>
              <w:keepNext w:val="0"/>
              <w:keepLines w:val="0"/>
              <w:pageBreakBefore w:val="0"/>
              <w:widowControl w:val="0"/>
              <w:kinsoku/>
              <w:wordWrap/>
              <w:overflowPunct/>
              <w:topLinePunct w:val="0"/>
              <w:bidi w:val="0"/>
              <w:adjustRightInd/>
              <w:snapToGrid/>
              <w:spacing w:line="360" w:lineRule="auto"/>
              <w:ind w:firstLine="576" w:firstLineChars="24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废气</w:t>
            </w:r>
            <w:r>
              <w:rPr>
                <w:rFonts w:hint="default" w:ascii="Times New Roman" w:hAnsi="Times New Roman" w:cs="Times New Roman"/>
                <w:b w:val="0"/>
                <w:bCs w:val="0"/>
                <w:color w:val="auto"/>
                <w:sz w:val="24"/>
                <w:szCs w:val="24"/>
                <w:highlight w:val="none"/>
              </w:rPr>
              <w:t>达标</w:t>
            </w:r>
            <w:r>
              <w:rPr>
                <w:rFonts w:hint="default" w:ascii="Times New Roman" w:hAnsi="Times New Roman" w:cs="Times New Roman"/>
                <w:b w:val="0"/>
                <w:bCs w:val="0"/>
                <w:color w:val="auto"/>
                <w:sz w:val="24"/>
                <w:szCs w:val="24"/>
                <w:highlight w:val="none"/>
                <w:lang w:val="en-US" w:eastAsia="zh-CN"/>
              </w:rPr>
              <w:t>排放情况</w:t>
            </w:r>
            <w:r>
              <w:rPr>
                <w:rFonts w:hint="default" w:ascii="Times New Roman" w:hAnsi="Times New Roman" w:cs="Times New Roman"/>
                <w:b w:val="0"/>
                <w:bCs w:val="0"/>
                <w:color w:val="auto"/>
                <w:sz w:val="24"/>
                <w:szCs w:val="24"/>
                <w:highlight w:val="none"/>
              </w:rPr>
              <w:t>分析</w:t>
            </w:r>
          </w:p>
          <w:p>
            <w:pPr>
              <w:keepNext w:val="0"/>
              <w:keepLines w:val="0"/>
              <w:pageBreakBefore w:val="0"/>
              <w:widowControl w:val="0"/>
              <w:kinsoku/>
              <w:wordWrap/>
              <w:overflowPunct/>
              <w:topLinePunct w:val="0"/>
              <w:bidi w:val="0"/>
              <w:adjustRightInd/>
              <w:snapToGrid/>
              <w:spacing w:line="360" w:lineRule="auto"/>
              <w:ind w:firstLine="576" w:firstLineChars="24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rPr>
              <w:t>经计算，</w:t>
            </w:r>
            <w:r>
              <w:rPr>
                <w:rFonts w:hint="default" w:ascii="Times New Roman" w:hAnsi="Times New Roman" w:cs="Times New Roman"/>
                <w:b w:val="0"/>
                <w:bCs w:val="0"/>
                <w:color w:val="auto"/>
                <w:sz w:val="24"/>
                <w:szCs w:val="24"/>
                <w:highlight w:val="none"/>
                <w:lang w:val="en-US" w:eastAsia="zh-CN"/>
              </w:rPr>
              <w:t>本项目蒸汽锅炉</w:t>
            </w:r>
            <w:r>
              <w:rPr>
                <w:rFonts w:hint="default" w:ascii="Times New Roman" w:hAnsi="Times New Roman" w:cs="Times New Roman"/>
                <w:b w:val="0"/>
                <w:bCs w:val="0"/>
                <w:color w:val="auto"/>
                <w:sz w:val="24"/>
                <w:szCs w:val="24"/>
                <w:highlight w:val="none"/>
              </w:rPr>
              <w:t>烟气</w:t>
            </w:r>
            <w:r>
              <w:rPr>
                <w:rFonts w:hint="default" w:ascii="Times New Roman" w:hAnsi="Times New Roman" w:cs="Times New Roman"/>
                <w:b w:val="0"/>
                <w:bCs w:val="0"/>
                <w:color w:val="auto"/>
                <w:sz w:val="24"/>
                <w:szCs w:val="24"/>
                <w:highlight w:val="none"/>
                <w:lang w:eastAsia="zh-CN"/>
              </w:rPr>
              <w:t>经布袋除尘器处理后，</w:t>
            </w:r>
            <w:r>
              <w:rPr>
                <w:rFonts w:hint="default" w:ascii="Times New Roman" w:hAnsi="Times New Roman" w:cs="Times New Roman"/>
                <w:b w:val="0"/>
                <w:bCs w:val="0"/>
                <w:color w:val="auto"/>
                <w:sz w:val="24"/>
                <w:szCs w:val="24"/>
                <w:highlight w:val="none"/>
              </w:rPr>
              <w:t>颗粒物、SO</w:t>
            </w:r>
            <w:r>
              <w:rPr>
                <w:rFonts w:hint="default" w:ascii="Times New Roman" w:hAnsi="Times New Roman" w:cs="Times New Roman"/>
                <w:b w:val="0"/>
                <w:bCs w:val="0"/>
                <w:color w:val="auto"/>
                <w:sz w:val="24"/>
                <w:szCs w:val="24"/>
                <w:highlight w:val="none"/>
                <w:vertAlign w:val="subscript"/>
              </w:rPr>
              <w:t>2</w:t>
            </w:r>
            <w:r>
              <w:rPr>
                <w:rFonts w:hint="default" w:ascii="Times New Roman" w:hAnsi="Times New Roman" w:cs="Times New Roman"/>
                <w:b w:val="0"/>
                <w:bCs w:val="0"/>
                <w:color w:val="auto"/>
                <w:sz w:val="24"/>
                <w:szCs w:val="24"/>
                <w:highlight w:val="none"/>
              </w:rPr>
              <w:t>、NO</w:t>
            </w:r>
            <w:r>
              <w:rPr>
                <w:rFonts w:hint="default" w:ascii="Times New Roman" w:hAnsi="Times New Roman" w:cs="Times New Roman"/>
                <w:b w:val="0"/>
                <w:bCs w:val="0"/>
                <w:color w:val="auto"/>
                <w:sz w:val="24"/>
                <w:szCs w:val="24"/>
                <w:highlight w:val="none"/>
                <w:vertAlign w:val="subscript"/>
              </w:rPr>
              <w:t>X</w:t>
            </w:r>
            <w:r>
              <w:rPr>
                <w:rFonts w:hint="default" w:ascii="Times New Roman" w:hAnsi="Times New Roman" w:cs="Times New Roman"/>
                <w:b w:val="0"/>
                <w:bCs w:val="0"/>
                <w:color w:val="auto"/>
                <w:sz w:val="24"/>
                <w:szCs w:val="24"/>
                <w:highlight w:val="none"/>
              </w:rPr>
              <w:t>排放浓度分别为</w:t>
            </w:r>
            <w:r>
              <w:rPr>
                <w:rFonts w:hint="default" w:ascii="Times New Roman" w:hAnsi="Times New Roman" w:cs="Times New Roman"/>
                <w:b w:val="0"/>
                <w:bCs w:val="0"/>
                <w:color w:val="auto"/>
                <w:sz w:val="24"/>
                <w:szCs w:val="24"/>
                <w:highlight w:val="none"/>
                <w:lang w:val="en-US" w:eastAsia="zh-CN"/>
              </w:rPr>
              <w:t>2</w:t>
            </w:r>
            <w:r>
              <w:rPr>
                <w:rFonts w:hint="eastAsia" w:cs="Times New Roman"/>
                <w:b w:val="0"/>
                <w:bCs w:val="0"/>
                <w:color w:val="auto"/>
                <w:sz w:val="24"/>
                <w:szCs w:val="24"/>
                <w:highlight w:val="none"/>
                <w:lang w:val="en-US" w:eastAsia="zh-CN"/>
              </w:rPr>
              <w:t>8.0</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val="en-US" w:eastAsia="zh-CN"/>
              </w:rPr>
              <w:t>62.1</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lang w:val="en-US" w:eastAsia="zh-CN"/>
              </w:rPr>
              <w:t>180</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lang w:eastAsia="zh-CN"/>
              </w:rPr>
              <w:t>，满足</w:t>
            </w:r>
            <w:r>
              <w:rPr>
                <w:rFonts w:hint="default" w:ascii="Times New Roman" w:hAnsi="Times New Roman" w:eastAsia="宋体" w:cs="Times New Roman"/>
                <w:b w:val="0"/>
                <w:bCs w:val="0"/>
                <w:color w:val="auto"/>
                <w:sz w:val="24"/>
                <w:szCs w:val="24"/>
                <w:highlight w:val="none"/>
              </w:rPr>
              <w:t>《锅炉大气污染物排放标准》（GB13271-2014）</w:t>
            </w:r>
            <w:r>
              <w:rPr>
                <w:rFonts w:hint="default" w:ascii="Times New Roman" w:hAnsi="Times New Roman" w:cs="Times New Roman"/>
                <w:b w:val="0"/>
                <w:bCs w:val="0"/>
                <w:color w:val="auto"/>
                <w:sz w:val="24"/>
                <w:szCs w:val="24"/>
                <w:highlight w:val="none"/>
                <w:lang w:eastAsia="zh-CN"/>
              </w:rPr>
              <w:t>表3大气污染物特别排放限值中燃煤锅炉标准</w:t>
            </w:r>
            <w:r>
              <w:rPr>
                <w:rFonts w:hint="default" w:ascii="Times New Roman" w:hAnsi="Times New Roman" w:eastAsia="宋体" w:cs="Times New Roman"/>
                <w:b w:val="0"/>
                <w:bCs w:val="0"/>
                <w:color w:val="auto"/>
                <w:sz w:val="24"/>
                <w:szCs w:val="24"/>
                <w:highlight w:val="none"/>
              </w:rPr>
              <w:t>要求</w:t>
            </w:r>
            <w:r>
              <w:rPr>
                <w:rFonts w:hint="default" w:ascii="Times New Roman" w:hAnsi="Times New Roman" w:cs="Times New Roman"/>
                <w:b w:val="0"/>
                <w:bCs w:val="0"/>
                <w:color w:val="auto"/>
                <w:sz w:val="24"/>
                <w:szCs w:val="24"/>
                <w:highlight w:val="none"/>
              </w:rPr>
              <w:t>（颗粒物</w:t>
            </w:r>
            <w:r>
              <w:rPr>
                <w:rFonts w:hint="default" w:ascii="Times New Roman" w:hAnsi="Times New Roman" w:cs="Times New Roman"/>
                <w:b w:val="0"/>
                <w:bCs w:val="0"/>
                <w:color w:val="auto"/>
                <w:sz w:val="24"/>
                <w:szCs w:val="24"/>
                <w:highlight w:val="none"/>
                <w:lang w:val="en-US" w:eastAsia="zh-CN"/>
              </w:rPr>
              <w:t>30</w:t>
            </w:r>
            <w:r>
              <w:rPr>
                <w:rFonts w:hint="default" w:ascii="Times New Roman" w:hAnsi="Times New Roman" w:cs="Times New Roman"/>
                <w:b w:val="0"/>
                <w:bCs w:val="0"/>
                <w:color w:val="auto"/>
                <w:sz w:val="24"/>
                <w:szCs w:val="24"/>
                <w:highlight w:val="none"/>
              </w:rPr>
              <w:t>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，二氧化硫</w:t>
            </w:r>
            <w:r>
              <w:rPr>
                <w:rFonts w:hint="default" w:ascii="Times New Roman" w:hAnsi="Times New Roman"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0mg/m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，氮氧化物</w:t>
            </w:r>
            <w:r>
              <w:rPr>
                <w:rFonts w:hint="default" w:ascii="Times New Roman" w:hAnsi="Times New Roman" w:cs="Times New Roman"/>
                <w:b w:val="0"/>
                <w:bCs w:val="0"/>
                <w:color w:val="auto"/>
                <w:sz w:val="24"/>
                <w:szCs w:val="24"/>
                <w:highlight w:val="none"/>
                <w:lang w:val="en-US" w:eastAsia="zh-CN"/>
              </w:rPr>
              <w:t>20</w:t>
            </w:r>
            <w:r>
              <w:rPr>
                <w:rFonts w:hint="default" w:ascii="Times New Roman" w:hAnsi="Times New Roman" w:cs="Times New Roman"/>
                <w:b w:val="0"/>
                <w:bCs w:val="0"/>
                <w:color w:val="auto"/>
                <w:sz w:val="24"/>
                <w:szCs w:val="24"/>
                <w:highlight w:val="none"/>
              </w:rPr>
              <w:t>0mg/m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厂界无组织排放的颗粒物</w:t>
            </w:r>
            <w:r>
              <w:rPr>
                <w:rFonts w:hint="default" w:ascii="Times New Roman" w:hAnsi="Times New Roman" w:eastAsia="宋体" w:cs="Times New Roman"/>
                <w:b w:val="0"/>
                <w:bCs w:val="0"/>
                <w:color w:val="auto"/>
                <w:sz w:val="24"/>
                <w:szCs w:val="24"/>
                <w:highlight w:val="none"/>
                <w:u w:val="none"/>
                <w:lang w:eastAsia="zh-CN"/>
              </w:rPr>
              <w:t>烃</w:t>
            </w:r>
            <w:r>
              <w:rPr>
                <w:rFonts w:hint="default" w:ascii="Times New Roman" w:hAnsi="Times New Roman" w:eastAsia="宋体" w:cs="Times New Roman"/>
                <w:b w:val="0"/>
                <w:bCs w:val="0"/>
                <w:color w:val="auto"/>
                <w:sz w:val="24"/>
                <w:szCs w:val="24"/>
                <w:highlight w:val="none"/>
                <w:u w:val="none"/>
              </w:rPr>
              <w:t>满足</w:t>
            </w:r>
            <w:r>
              <w:rPr>
                <w:rFonts w:hint="default" w:ascii="Times New Roman" w:hAnsi="Times New Roman" w:eastAsia="宋体" w:cs="Times New Roman"/>
                <w:b w:val="0"/>
                <w:bCs w:val="0"/>
                <w:color w:val="auto"/>
                <w:sz w:val="24"/>
                <w:szCs w:val="24"/>
                <w:highlight w:val="none"/>
                <w:lang w:val="en-US" w:eastAsia="zh-CN"/>
              </w:rPr>
              <w:t>《大气污染物综合排放标准》（GB16297-1996）表2新污染源大气污染物排放限值中无组织排放监控浓度限值</w:t>
            </w:r>
            <w:r>
              <w:rPr>
                <w:rFonts w:hint="default" w:ascii="Times New Roman" w:hAnsi="Times New Roman" w:cs="Times New Roman"/>
                <w:b w:val="0"/>
                <w:bCs w:val="0"/>
                <w:color w:val="auto"/>
                <w:sz w:val="24"/>
                <w:szCs w:val="24"/>
                <w:highlight w:val="none"/>
              </w:rPr>
              <w:t>要求</w:t>
            </w:r>
            <w:r>
              <w:rPr>
                <w:rFonts w:hint="default" w:ascii="Times New Roman" w:hAnsi="Times New Roman" w:cs="Times New Roman"/>
                <w:b w:val="0"/>
                <w:bCs w:val="0"/>
                <w:color w:val="auto"/>
                <w:sz w:val="24"/>
                <w:szCs w:val="24"/>
                <w:highlight w:val="none"/>
                <w:lang w:eastAsia="zh-CN"/>
              </w:rPr>
              <w:t>（颗粒物：</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u w:val="none"/>
              </w:rPr>
              <w:t>mg/m</w:t>
            </w:r>
            <w:r>
              <w:rPr>
                <w:rFonts w:hint="default" w:ascii="Times New Roman" w:hAnsi="Times New Roman" w:cs="Times New Roman"/>
                <w:b w:val="0"/>
                <w:bCs w:val="0"/>
                <w:color w:val="auto"/>
                <w:sz w:val="24"/>
                <w:szCs w:val="24"/>
                <w:highlight w:val="none"/>
                <w:u w:val="none"/>
                <w:vertAlign w:val="superscript"/>
              </w:rPr>
              <w:t>3</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sz w:val="24"/>
                <w:szCs w:val="24"/>
              </w:rPr>
              <w:t>厂界臭气浓度能够满足《恶臭污染物排放标准》（GB14554-93）表2中臭气浓度20 (无量纲)标准限值。</w:t>
            </w:r>
            <w:r>
              <w:rPr>
                <w:rFonts w:hint="default" w:ascii="Times New Roman" w:hAnsi="Times New Roman" w:cs="Times New Roman"/>
                <w:b w:val="0"/>
                <w:bCs w:val="0"/>
                <w:sz w:val="24"/>
                <w:szCs w:val="24"/>
                <w:lang w:eastAsia="zh-CN"/>
              </w:rPr>
              <w:t>食堂油烟</w:t>
            </w:r>
            <w:r>
              <w:rPr>
                <w:rFonts w:hint="default" w:ascii="Times New Roman" w:hAnsi="Times New Roman" w:cs="Times New Roman"/>
                <w:b w:val="0"/>
                <w:bCs w:val="0"/>
                <w:color w:val="auto"/>
                <w:sz w:val="24"/>
                <w:szCs w:val="24"/>
                <w:highlight w:val="none"/>
              </w:rPr>
              <w:t>满足《饮食业油烟排放标准（试行）》（GB18483-2001）中2.0mg/m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标准限值规定。</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 xml:space="preserve">1.5 </w:t>
            </w:r>
            <w:r>
              <w:rPr>
                <w:rFonts w:hint="default" w:ascii="Times New Roman" w:hAnsi="Times New Roman" w:cs="Times New Roman"/>
                <w:b w:val="0"/>
                <w:bCs w:val="0"/>
                <w:color w:val="auto"/>
                <w:sz w:val="24"/>
                <w:szCs w:val="24"/>
                <w:highlight w:val="none"/>
              </w:rPr>
              <w:t>监测计划</w:t>
            </w:r>
          </w:p>
          <w:p>
            <w:pPr>
              <w:pStyle w:val="37"/>
              <w:spacing w:line="360" w:lineRule="auto"/>
              <w:ind w:firstLine="460" w:firstLineChars="200"/>
              <w:jc w:val="both"/>
              <w:rPr>
                <w:rFonts w:hint="default" w:ascii="Times New Roman" w:hAnsi="Times New Roman" w:eastAsia="宋体" w:cs="Times New Roman"/>
                <w:b w:val="0"/>
                <w:bCs w:val="0"/>
                <w:color w:val="auto"/>
                <w:spacing w:val="-5"/>
                <w:sz w:val="24"/>
                <w:szCs w:val="24"/>
                <w:highlight w:val="none"/>
              </w:rPr>
            </w:pPr>
            <w:r>
              <w:rPr>
                <w:rFonts w:hint="default" w:ascii="Times New Roman" w:hAnsi="Times New Roman" w:eastAsia="宋体" w:cs="Times New Roman"/>
                <w:b w:val="0"/>
                <w:bCs w:val="0"/>
                <w:color w:val="auto"/>
                <w:spacing w:val="-5"/>
                <w:sz w:val="24"/>
                <w:szCs w:val="24"/>
                <w:highlight w:val="none"/>
              </w:rPr>
              <w:t>根据《排污单位自行监测技术指南 总则》（HJ819-2017）和《</w:t>
            </w:r>
            <w:r>
              <w:rPr>
                <w:rFonts w:hint="default" w:ascii="Times New Roman" w:hAnsi="Times New Roman" w:eastAsia="宋体" w:cs="Times New Roman"/>
                <w:b w:val="0"/>
                <w:bCs w:val="0"/>
                <w:color w:val="auto"/>
                <w:spacing w:val="-5"/>
                <w:sz w:val="24"/>
                <w:szCs w:val="24"/>
                <w:highlight w:val="none"/>
              </w:rPr>
              <w:fldChar w:fldCharType="begin"/>
            </w:r>
            <w:r>
              <w:rPr>
                <w:rFonts w:hint="default" w:ascii="Times New Roman" w:hAnsi="Times New Roman" w:eastAsia="宋体" w:cs="Times New Roman"/>
                <w:b w:val="0"/>
                <w:bCs w:val="0"/>
                <w:color w:val="auto"/>
                <w:spacing w:val="-5"/>
                <w:sz w:val="24"/>
                <w:szCs w:val="24"/>
                <w:highlight w:val="none"/>
              </w:rPr>
              <w:instrText xml:space="preserve"> HYPERLINK "http://kjs.mep.gov.cn/hjbhbz/bzwb/shjbh/xgbzh/201705/W020170511332490849000.pdf" </w:instrText>
            </w:r>
            <w:r>
              <w:rPr>
                <w:rFonts w:hint="default" w:ascii="Times New Roman" w:hAnsi="Times New Roman" w:eastAsia="宋体" w:cs="Times New Roman"/>
                <w:b w:val="0"/>
                <w:bCs w:val="0"/>
                <w:color w:val="auto"/>
                <w:spacing w:val="-5"/>
                <w:sz w:val="24"/>
                <w:szCs w:val="24"/>
                <w:highlight w:val="none"/>
              </w:rPr>
              <w:fldChar w:fldCharType="separate"/>
            </w:r>
            <w:r>
              <w:rPr>
                <w:rFonts w:hint="default" w:ascii="Times New Roman" w:hAnsi="Times New Roman" w:eastAsia="宋体" w:cs="Times New Roman"/>
                <w:b w:val="0"/>
                <w:bCs w:val="0"/>
                <w:color w:val="auto"/>
                <w:spacing w:val="-5"/>
                <w:sz w:val="24"/>
                <w:szCs w:val="24"/>
                <w:highlight w:val="none"/>
              </w:rPr>
              <w:t>排污单位自行监测技术指南火力发电及锅炉》（HJ820-2017）</w:t>
            </w:r>
            <w:r>
              <w:rPr>
                <w:rFonts w:hint="default" w:ascii="Times New Roman" w:hAnsi="Times New Roman" w:eastAsia="宋体" w:cs="Times New Roman"/>
                <w:b w:val="0"/>
                <w:bCs w:val="0"/>
                <w:color w:val="auto"/>
                <w:spacing w:val="-5"/>
                <w:sz w:val="24"/>
                <w:szCs w:val="24"/>
                <w:highlight w:val="none"/>
              </w:rPr>
              <w:fldChar w:fldCharType="end"/>
            </w:r>
            <w:r>
              <w:rPr>
                <w:rFonts w:hint="default" w:ascii="Times New Roman" w:hAnsi="Times New Roman" w:eastAsia="宋体" w:cs="Times New Roman"/>
                <w:b w:val="0"/>
                <w:bCs w:val="0"/>
                <w:color w:val="auto"/>
                <w:spacing w:val="-5"/>
                <w:sz w:val="24"/>
                <w:szCs w:val="24"/>
                <w:highlight w:val="none"/>
              </w:rPr>
              <w:t>，并结合本项目的实际排污状况制定废气监测计划。</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w:t>
            </w:r>
            <w:r>
              <w:rPr>
                <w:rFonts w:hint="eastAsia" w:ascii="Times New Roman" w:hAnsi="Times New Roman" w:cs="Times New Roman" w:eastAsiaTheme="minorEastAsia"/>
                <w:b/>
                <w:bCs/>
                <w:color w:val="auto"/>
                <w:sz w:val="21"/>
                <w:szCs w:val="24"/>
                <w:lang w:val="en-US" w:eastAsia="zh-CN"/>
              </w:rPr>
              <w:t xml:space="preserve">4 </w:t>
            </w:r>
            <w:r>
              <w:rPr>
                <w:rFonts w:hint="default" w:ascii="Times New Roman" w:hAnsi="Times New Roman" w:cs="Times New Roman" w:eastAsiaTheme="minorEastAsia"/>
                <w:b/>
                <w:bCs/>
                <w:color w:val="auto"/>
                <w:sz w:val="21"/>
                <w:szCs w:val="24"/>
                <w:lang w:val="en-US" w:eastAsia="zh-CN"/>
              </w:rPr>
              <w:t xml:space="preserve"> 营运期废气监测计划表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389"/>
              <w:gridCol w:w="1208"/>
              <w:gridCol w:w="1016"/>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48" w:type="pct"/>
                  <w:tcBorders>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38"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监测指标</w:t>
                  </w:r>
                </w:p>
              </w:tc>
              <w:tc>
                <w:tcPr>
                  <w:tcW w:w="729"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p>
              </w:tc>
              <w:tc>
                <w:tcPr>
                  <w:tcW w:w="613" w:type="pct"/>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c>
                <w:tcPr>
                  <w:tcW w:w="1971" w:type="pct"/>
                  <w:tcBorders>
                    <w:left w:val="single" w:color="000000" w:sz="4" w:space="0"/>
                    <w:bottom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8" w:type="pct"/>
                  <w:tcBorders>
                    <w:top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4t/h、6t/h</w:t>
                  </w:r>
                  <w:r>
                    <w:rPr>
                      <w:rFonts w:hint="default" w:ascii="Times New Roman" w:hAnsi="Times New Roman" w:cs="Times New Roman"/>
                      <w:color w:val="auto"/>
                      <w:sz w:val="21"/>
                      <w:szCs w:val="21"/>
                      <w:highlight w:val="none"/>
                      <w:lang w:val="en-US" w:eastAsia="zh-CN"/>
                    </w:rPr>
                    <w:t>燃生物质蒸汽锅炉</w:t>
                  </w:r>
                </w:p>
              </w:tc>
              <w:tc>
                <w:tcPr>
                  <w:tcW w:w="838" w:type="pct"/>
                  <w:tcBorders>
                    <w:top w:val="single" w:color="auto"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颗粒物</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vertAlign w:val="baseline"/>
                      <w:lang w:val="en-US" w:eastAsia="zh-CN"/>
                    </w:rPr>
                    <w:t>、NOx、林格曼黑度</w:t>
                  </w:r>
                </w:p>
              </w:tc>
              <w:tc>
                <w:tcPr>
                  <w:tcW w:w="729" w:type="pct"/>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烟囱</w:t>
                  </w:r>
                  <w:r>
                    <w:rPr>
                      <w:rFonts w:hint="eastAsia" w:cs="Times New Roman"/>
                      <w:color w:val="auto"/>
                      <w:sz w:val="21"/>
                      <w:szCs w:val="21"/>
                      <w:highlight w:val="none"/>
                      <w:lang w:val="en-US" w:eastAsia="zh-CN"/>
                    </w:rPr>
                    <w:t>DA001</w:t>
                  </w:r>
                </w:p>
              </w:tc>
              <w:tc>
                <w:tcPr>
                  <w:tcW w:w="613"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月</w:t>
                  </w:r>
                </w:p>
              </w:tc>
              <w:tc>
                <w:tcPr>
                  <w:tcW w:w="1971" w:type="pct"/>
                  <w:tcBorders>
                    <w:left w:val="single" w:color="000000" w:sz="4" w:space="0"/>
                  </w:tcBorders>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《锅炉大气污染物排放标准》（GB13271-2014）</w:t>
                  </w:r>
                  <w:r>
                    <w:rPr>
                      <w:rFonts w:hint="default" w:ascii="Times New Roman" w:hAnsi="Times New Roman" w:eastAsia="宋体" w:cs="Times New Roman"/>
                      <w:color w:val="auto"/>
                      <w:sz w:val="21"/>
                      <w:szCs w:val="21"/>
                      <w:highlight w:val="none"/>
                      <w:lang w:eastAsia="zh-CN"/>
                    </w:rPr>
                    <w:t>表3大气污染物特别排放限值中燃煤锅炉标准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pct"/>
                  <w:tcBorders>
                    <w:top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838"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2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企业边界</w:t>
                  </w:r>
                </w:p>
              </w:tc>
              <w:tc>
                <w:tcPr>
                  <w:tcW w:w="613"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1次/</w:t>
                  </w:r>
                  <w:r>
                    <w:rPr>
                      <w:rFonts w:hint="default" w:ascii="Times New Roman" w:hAnsi="Times New Roman" w:cs="Times New Roman"/>
                      <w:color w:val="auto"/>
                      <w:sz w:val="21"/>
                      <w:szCs w:val="21"/>
                      <w:highlight w:val="none"/>
                      <w:lang w:eastAsia="zh-CN"/>
                    </w:rPr>
                    <w:t>季</w:t>
                  </w:r>
                </w:p>
              </w:tc>
              <w:tc>
                <w:tcPr>
                  <w:tcW w:w="1971" w:type="pct"/>
                  <w:tcBorders>
                    <w:left w:val="single" w:color="000000" w:sz="4" w:space="0"/>
                  </w:tcBorders>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《大气污染物综合排放标准》（GB16297-1996）表2</w:t>
                  </w:r>
                  <w:r>
                    <w:rPr>
                      <w:rFonts w:hint="default" w:ascii="Times New Roman" w:hAnsi="Times New Roman" w:eastAsia="宋体" w:cs="Times New Roman"/>
                      <w:color w:val="auto"/>
                      <w:sz w:val="21"/>
                      <w:szCs w:val="21"/>
                      <w:highlight w:val="none"/>
                      <w:lang w:val="en-US" w:eastAsia="zh-CN"/>
                    </w:rPr>
                    <w:t>新污染源大气污染物排放限值</w:t>
                  </w:r>
                  <w:r>
                    <w:rPr>
                      <w:rFonts w:hint="default" w:ascii="Times New Roman" w:hAnsi="Times New Roman" w:eastAsia="宋体" w:cs="Times New Roman"/>
                      <w:color w:val="auto"/>
                      <w:sz w:val="21"/>
                      <w:szCs w:val="21"/>
                      <w:highlight w:val="none"/>
                    </w:rPr>
                    <w:t>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pct"/>
                  <w:tcBorders>
                    <w:top w:val="single" w:color="auto"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无组织</w:t>
                  </w:r>
                </w:p>
              </w:tc>
              <w:tc>
                <w:tcPr>
                  <w:tcW w:w="838"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臭气浓度</w:t>
                  </w:r>
                </w:p>
              </w:tc>
              <w:tc>
                <w:tcPr>
                  <w:tcW w:w="72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企业边界</w:t>
                  </w:r>
                </w:p>
              </w:tc>
              <w:tc>
                <w:tcPr>
                  <w:tcW w:w="613" w:type="pct"/>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1次/</w:t>
                  </w:r>
                  <w:r>
                    <w:rPr>
                      <w:rFonts w:hint="eastAsia" w:cs="Times New Roman"/>
                      <w:color w:val="auto"/>
                      <w:sz w:val="21"/>
                      <w:szCs w:val="21"/>
                      <w:highlight w:val="none"/>
                      <w:lang w:eastAsia="zh-CN"/>
                    </w:rPr>
                    <w:t>年</w:t>
                  </w:r>
                </w:p>
              </w:tc>
              <w:tc>
                <w:tcPr>
                  <w:tcW w:w="1971" w:type="pct"/>
                  <w:tcBorders>
                    <w:left w:val="single" w:color="000000" w:sz="4" w:space="0"/>
                  </w:tcBorders>
                  <w:noWrap w:val="0"/>
                  <w:vAlign w:val="center"/>
                </w:tcPr>
                <w:p>
                  <w:p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恶臭污染物排放标准》（GB14554-93）表2中臭气浓度标准限值</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kern w:val="0"/>
                <w:sz w:val="24"/>
                <w:lang w:val="en-US"/>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8"/>
        <w:gridCol w:w="85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2" w:hRule="atLeast"/>
          <w:jc w:val="center"/>
        </w:trPr>
        <w:tc>
          <w:tcPr>
            <w:tcW w:w="468" w:type="dxa"/>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bookmarkStart w:id="20" w:name="_Toc68775756"/>
            <w:r>
              <w:rPr>
                <w:rFonts w:hint="default" w:ascii="Times New Roman" w:hAnsi="Times New Roman" w:cs="Times New Roman"/>
                <w:color w:val="auto"/>
                <w:kern w:val="0"/>
                <w:sz w:val="24"/>
              </w:rPr>
              <w:t>运营期环境影响和保护措施</w:t>
            </w:r>
          </w:p>
        </w:tc>
        <w:tc>
          <w:tcPr>
            <w:tcW w:w="8513"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废水</w:t>
            </w:r>
          </w:p>
          <w:p>
            <w:pPr>
              <w:pStyle w:val="44"/>
              <w:adjustRightInd w:val="0"/>
              <w:snapToGrid w:val="0"/>
              <w:spacing w:line="360" w:lineRule="auto"/>
              <w:ind w:left="425" w:firstLine="0" w:firstLineChars="0"/>
              <w:rPr>
                <w:rFonts w:hint="default" w:ascii="Times New Roman" w:hAnsi="Times New Roman" w:cs="Times New Roman"/>
                <w:b w:val="0"/>
                <w:bCs w:val="0"/>
                <w:sz w:val="24"/>
                <w:szCs w:val="24"/>
              </w:rPr>
            </w:pPr>
            <w:r>
              <w:rPr>
                <w:rFonts w:hint="eastAsia" w:cs="Times New Roman"/>
                <w:b w:val="0"/>
                <w:bCs w:val="0"/>
                <w:sz w:val="24"/>
                <w:szCs w:val="24"/>
                <w:lang w:val="en-US" w:eastAsia="zh-CN"/>
              </w:rPr>
              <w:t xml:space="preserve">2.1 </w:t>
            </w:r>
            <w:r>
              <w:rPr>
                <w:rFonts w:hint="default" w:ascii="Times New Roman" w:hAnsi="Times New Roman" w:cs="Times New Roman"/>
                <w:b w:val="0"/>
                <w:bCs w:val="0"/>
                <w:sz w:val="24"/>
                <w:szCs w:val="24"/>
              </w:rPr>
              <w:t>废水产生及排放情况</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本项目废水主要为生活污水、车间地面冲洗废水、</w:t>
            </w:r>
            <w:r>
              <w:rPr>
                <w:rFonts w:hint="default" w:ascii="Times New Roman" w:hAnsi="Times New Roman" w:cs="Times New Roman"/>
                <w:b w:val="0"/>
                <w:bCs w:val="0"/>
                <w:color w:val="auto"/>
                <w:sz w:val="24"/>
                <w:szCs w:val="24"/>
                <w:lang w:eastAsia="zh-CN"/>
              </w:rPr>
              <w:t>清洗废水</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eastAsia="zh-CN"/>
              </w:rPr>
              <w:t>锅炉排污水和软化处理废水</w:t>
            </w:r>
            <w:r>
              <w:rPr>
                <w:rFonts w:hint="default" w:ascii="Times New Roman" w:hAnsi="Times New Roman" w:eastAsia="宋体" w:cs="Times New Roman"/>
                <w:b w:val="0"/>
                <w:bCs w:val="0"/>
                <w:color w:val="auto"/>
                <w:sz w:val="24"/>
                <w:szCs w:val="24"/>
              </w:rPr>
              <w:t>。</w:t>
            </w:r>
          </w:p>
          <w:p>
            <w:pPr>
              <w:pStyle w:val="37"/>
              <w:numPr>
                <w:ilvl w:val="0"/>
                <w:numId w:val="6"/>
              </w:numPr>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生活污水</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本项目生活污水产生量按用水量的80%计，</w:t>
            </w:r>
            <w:r>
              <w:rPr>
                <w:rFonts w:hint="default" w:ascii="Times New Roman" w:hAnsi="Times New Roman" w:cs="Times New Roman"/>
                <w:b w:val="0"/>
                <w:bCs w:val="0"/>
                <w:color w:val="auto"/>
                <w:sz w:val="24"/>
                <w:szCs w:val="24"/>
              </w:rPr>
              <w:t>产生量为</w:t>
            </w:r>
            <w:r>
              <w:rPr>
                <w:rFonts w:hint="default" w:ascii="Times New Roman" w:hAnsi="Times New Roman" w:cs="Times New Roman"/>
                <w:b w:val="0"/>
                <w:bCs w:val="0"/>
                <w:color w:val="auto"/>
                <w:sz w:val="24"/>
                <w:szCs w:val="24"/>
                <w:lang w:val="en-US" w:eastAsia="zh-CN"/>
              </w:rPr>
              <w:t>12.8</w:t>
            </w:r>
            <w:r>
              <w:rPr>
                <w:rFonts w:hint="default" w:ascii="Times New Roman" w:hAnsi="Times New Roman" w:cs="Times New Roman"/>
                <w:b w:val="0"/>
                <w:bCs w:val="0"/>
                <w:color w:val="auto"/>
                <w:sz w:val="24"/>
                <w:szCs w:val="24"/>
                <w:lang w:val="zh-CN"/>
              </w:rPr>
              <w:t>t/d，</w:t>
            </w:r>
            <w:r>
              <w:rPr>
                <w:rFonts w:hint="default" w:ascii="Times New Roman" w:hAnsi="Times New Roman" w:cs="Times New Roman"/>
                <w:b w:val="0"/>
                <w:bCs w:val="0"/>
                <w:color w:val="auto"/>
                <w:sz w:val="24"/>
                <w:szCs w:val="24"/>
                <w:lang w:val="en-US" w:eastAsia="zh-CN"/>
              </w:rPr>
              <w:t>768</w:t>
            </w:r>
            <w:r>
              <w:rPr>
                <w:rFonts w:hint="default" w:ascii="Times New Roman" w:hAnsi="Times New Roman" w:cs="Times New Roman"/>
                <w:b w:val="0"/>
                <w:bCs w:val="0"/>
                <w:color w:val="auto"/>
                <w:sz w:val="24"/>
                <w:szCs w:val="24"/>
              </w:rPr>
              <w:t>t/a</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主要污染物浓度及产生量为COD 300mg/L、NH</w:t>
            </w:r>
            <w:r>
              <w:rPr>
                <w:rFonts w:hint="default" w:ascii="Times New Roman" w:hAnsi="Times New Roman" w:eastAsia="宋体" w:cs="Times New Roman"/>
                <w:b w:val="0"/>
                <w:bCs w:val="0"/>
                <w:color w:val="auto"/>
                <w:sz w:val="24"/>
                <w:szCs w:val="24"/>
                <w:vertAlign w:val="subscript"/>
              </w:rPr>
              <w:t>3</w:t>
            </w:r>
            <w:r>
              <w:rPr>
                <w:rFonts w:hint="default" w:ascii="Times New Roman" w:hAnsi="Times New Roman" w:eastAsia="宋体" w:cs="Times New Roman"/>
                <w:b w:val="0"/>
                <w:bCs w:val="0"/>
                <w:color w:val="auto"/>
                <w:sz w:val="24"/>
                <w:szCs w:val="24"/>
              </w:rPr>
              <w:t>-N 30mg/L。本项目生活污水排入防渗旱厕，定期清掏，外运堆肥。</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（2）生产废水</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highlight w:val="yellow"/>
              </w:rPr>
            </w:pPr>
            <w:r>
              <w:rPr>
                <w:rFonts w:hint="default" w:ascii="Times New Roman" w:hAnsi="Times New Roman" w:eastAsia="宋体" w:cs="Times New Roman"/>
                <w:b w:val="0"/>
                <w:bCs w:val="0"/>
                <w:color w:val="auto"/>
                <w:sz w:val="24"/>
                <w:szCs w:val="24"/>
              </w:rPr>
              <w:fldChar w:fldCharType="begin"/>
            </w:r>
            <w:r>
              <w:rPr>
                <w:rFonts w:hint="default" w:ascii="Times New Roman" w:hAnsi="Times New Roman" w:eastAsia="宋体" w:cs="Times New Roman"/>
                <w:b w:val="0"/>
                <w:bCs w:val="0"/>
                <w:color w:val="auto"/>
                <w:sz w:val="24"/>
                <w:szCs w:val="24"/>
              </w:rPr>
              <w:instrText xml:space="preserve"> = 1 \* GB3 </w:instrText>
            </w:r>
            <w:r>
              <w:rPr>
                <w:rFonts w:hint="default" w:ascii="Times New Roman" w:hAnsi="Times New Roman" w:eastAsia="宋体" w:cs="Times New Roman"/>
                <w:b w:val="0"/>
                <w:bCs w:val="0"/>
                <w:color w:val="auto"/>
                <w:sz w:val="24"/>
                <w:szCs w:val="24"/>
              </w:rPr>
              <w:fldChar w:fldCharType="separate"/>
            </w:r>
            <w:r>
              <w:rPr>
                <w:rFonts w:hint="default" w:ascii="Times New Roman" w:hAnsi="Times New Roman" w:eastAsia="宋体" w:cs="Times New Roman"/>
                <w:b w:val="0"/>
                <w:bCs w:val="0"/>
                <w:color w:val="auto"/>
                <w:sz w:val="24"/>
                <w:szCs w:val="24"/>
              </w:rPr>
              <w:t>①</w:t>
            </w:r>
            <w:r>
              <w:rPr>
                <w:rFonts w:hint="default" w:ascii="Times New Roman" w:hAnsi="Times New Roman" w:eastAsia="宋体" w:cs="Times New Roman"/>
                <w:b w:val="0"/>
                <w:bCs w:val="0"/>
                <w:color w:val="auto"/>
                <w:sz w:val="24"/>
                <w:szCs w:val="24"/>
              </w:rPr>
              <w:fldChar w:fldCharType="end"/>
            </w:r>
            <w:r>
              <w:rPr>
                <w:rFonts w:hint="default" w:ascii="Times New Roman" w:hAnsi="Times New Roman" w:eastAsia="宋体" w:cs="Times New Roman"/>
                <w:b w:val="0"/>
                <w:bCs w:val="0"/>
                <w:color w:val="auto"/>
                <w:sz w:val="24"/>
                <w:szCs w:val="24"/>
              </w:rPr>
              <w:t>车间地面冲洗废水：车间地面</w:t>
            </w:r>
            <w:r>
              <w:rPr>
                <w:rFonts w:hint="default" w:ascii="Times New Roman" w:hAnsi="Times New Roman" w:eastAsia="宋体" w:cs="Times New Roman"/>
                <w:b w:val="0"/>
                <w:bCs w:val="0"/>
                <w:color w:val="auto"/>
                <w:sz w:val="24"/>
                <w:szCs w:val="24"/>
                <w:highlight w:val="none"/>
              </w:rPr>
              <w:t>冲洗废水产生量按用水量的80%计，则车间地面冲洗废水产生量为</w:t>
            </w:r>
            <w:r>
              <w:rPr>
                <w:rFonts w:hint="eastAsia" w:asci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zh-CN"/>
              </w:rPr>
              <w:t>t/d，</w:t>
            </w:r>
            <w:r>
              <w:rPr>
                <w:rFonts w:hint="eastAsia" w:ascii="Times New Roman" w:cs="Times New Roman"/>
                <w:b w:val="0"/>
                <w:bCs w:val="0"/>
                <w:color w:val="auto"/>
                <w:sz w:val="24"/>
                <w:szCs w:val="24"/>
                <w:highlight w:val="none"/>
                <w:lang w:val="en-US" w:eastAsia="zh-CN"/>
              </w:rPr>
              <w:t>240</w:t>
            </w:r>
            <w:r>
              <w:rPr>
                <w:rFonts w:hint="default" w:ascii="Times New Roman" w:hAnsi="Times New Roman"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rPr>
              <w:t>；冲洗废水主要污染物为SS，类比同类项目，车间地面冲洗废水SS产生浓度为300mg/L，SS产生量为0.0</w:t>
            </w:r>
            <w:r>
              <w:rPr>
                <w:rFonts w:hint="eastAsia" w:ascii="Times New Roman" w:cs="Times New Roman"/>
                <w:b w:val="0"/>
                <w:bCs w:val="0"/>
                <w:color w:val="auto"/>
                <w:sz w:val="24"/>
                <w:szCs w:val="24"/>
                <w:highlight w:val="none"/>
                <w:lang w:val="en-US" w:eastAsia="zh-CN"/>
              </w:rPr>
              <w:t>72</w:t>
            </w:r>
            <w:r>
              <w:rPr>
                <w:rFonts w:hint="default" w:ascii="Times New Roman" w:hAnsi="Times New Roman" w:eastAsia="宋体" w:cs="Times New Roman"/>
                <w:b w:val="0"/>
                <w:bCs w:val="0"/>
                <w:color w:val="auto"/>
                <w:sz w:val="24"/>
                <w:szCs w:val="24"/>
                <w:highlight w:val="none"/>
              </w:rPr>
              <w:t>t/a。</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fldChar w:fldCharType="begin"/>
            </w:r>
            <w:r>
              <w:rPr>
                <w:rFonts w:hint="default" w:ascii="Times New Roman" w:hAnsi="Times New Roman" w:cs="Times New Roman"/>
                <w:b w:val="0"/>
                <w:bCs w:val="0"/>
                <w:color w:val="auto"/>
                <w:sz w:val="24"/>
                <w:szCs w:val="24"/>
              </w:rPr>
              <w:instrText xml:space="preserve"> = 2 \* GB3 </w:instrText>
            </w:r>
            <w:r>
              <w:rPr>
                <w:rFonts w:hint="default" w:ascii="Times New Roman" w:hAnsi="Times New Roman" w:cs="Times New Roman"/>
                <w:b w:val="0"/>
                <w:bCs w:val="0"/>
                <w:color w:val="auto"/>
                <w:sz w:val="24"/>
                <w:szCs w:val="24"/>
              </w:rPr>
              <w:fldChar w:fldCharType="separate"/>
            </w:r>
            <w:r>
              <w:rPr>
                <w:rFonts w:hint="default" w:ascii="Times New Roman" w:hAnsi="Times New Roman" w:cs="Times New Roman"/>
                <w:b w:val="0"/>
                <w:bCs w:val="0"/>
                <w:color w:val="auto"/>
                <w:sz w:val="24"/>
                <w:szCs w:val="24"/>
              </w:rPr>
              <w:t>②</w:t>
            </w:r>
            <w:r>
              <w:rPr>
                <w:rFonts w:hint="default" w:ascii="Times New Roman" w:hAnsi="Times New Roman" w:cs="Times New Roman"/>
                <w:b w:val="0"/>
                <w:bCs w:val="0"/>
                <w:color w:val="auto"/>
                <w:sz w:val="24"/>
                <w:szCs w:val="24"/>
              </w:rPr>
              <w:fldChar w:fldCharType="end"/>
            </w:r>
            <w:r>
              <w:rPr>
                <w:rFonts w:hint="default" w:ascii="Times New Roman" w:hAnsi="Times New Roman" w:cs="Times New Roman"/>
                <w:b w:val="0"/>
                <w:bCs w:val="0"/>
                <w:color w:val="auto"/>
                <w:sz w:val="24"/>
                <w:szCs w:val="24"/>
                <w:lang w:eastAsia="zh-CN"/>
              </w:rPr>
              <w:t>清洗废水</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清洗废水</w:t>
            </w:r>
            <w:r>
              <w:rPr>
                <w:rFonts w:hint="default" w:ascii="Times New Roman" w:hAnsi="Times New Roman" w:cs="Times New Roman"/>
                <w:b w:val="0"/>
                <w:bCs w:val="0"/>
                <w:color w:val="auto"/>
                <w:sz w:val="24"/>
                <w:szCs w:val="24"/>
              </w:rPr>
              <w:t>产生量按用水量的80%计，则</w:t>
            </w:r>
            <w:r>
              <w:rPr>
                <w:rFonts w:hint="default" w:ascii="Times New Roman" w:hAnsi="Times New Roman" w:cs="Times New Roman"/>
                <w:b w:val="0"/>
                <w:bCs w:val="0"/>
                <w:color w:val="auto"/>
                <w:sz w:val="24"/>
                <w:szCs w:val="24"/>
                <w:lang w:eastAsia="zh-CN"/>
              </w:rPr>
              <w:t>清洗废水</w:t>
            </w:r>
            <w:r>
              <w:rPr>
                <w:rFonts w:hint="default" w:ascii="Times New Roman" w:hAnsi="Times New Roman" w:cs="Times New Roman"/>
                <w:b w:val="0"/>
                <w:bCs w:val="0"/>
                <w:color w:val="auto"/>
                <w:sz w:val="24"/>
                <w:szCs w:val="24"/>
              </w:rPr>
              <w:t>产生量为</w:t>
            </w:r>
            <w:r>
              <w:rPr>
                <w:rFonts w:hint="default" w:ascii="Times New Roman" w:hAnsi="Times New Roman" w:cs="Times New Roman"/>
                <w:b w:val="0"/>
                <w:bCs w:val="0"/>
                <w:color w:val="auto"/>
                <w:sz w:val="24"/>
                <w:szCs w:val="24"/>
                <w:lang w:val="en-US" w:eastAsia="zh-CN"/>
              </w:rPr>
              <w:t>24</w:t>
            </w:r>
            <w:r>
              <w:rPr>
                <w:rFonts w:hint="default" w:ascii="Times New Roman" w:hAnsi="Times New Roman" w:cs="Times New Roman"/>
                <w:b w:val="0"/>
                <w:bCs w:val="0"/>
                <w:color w:val="auto"/>
                <w:sz w:val="24"/>
                <w:szCs w:val="24"/>
              </w:rPr>
              <w:t>t/d，</w:t>
            </w:r>
            <w:r>
              <w:rPr>
                <w:rFonts w:hint="default" w:ascii="Times New Roman" w:hAnsi="Times New Roman" w:cs="Times New Roman"/>
                <w:b w:val="0"/>
                <w:bCs w:val="0"/>
                <w:color w:val="auto"/>
                <w:sz w:val="24"/>
                <w:szCs w:val="24"/>
                <w:lang w:val="en-US" w:eastAsia="zh-CN"/>
              </w:rPr>
              <w:t>1440</w:t>
            </w:r>
            <w:r>
              <w:rPr>
                <w:rFonts w:hint="default" w:ascii="Times New Roman" w:hAnsi="Times New Roman" w:cs="Times New Roman"/>
                <w:b w:val="0"/>
                <w:bCs w:val="0"/>
                <w:color w:val="auto"/>
                <w:sz w:val="24"/>
                <w:szCs w:val="24"/>
              </w:rPr>
              <w:t>t/a；主要污染物为COD、BOD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rPr>
              <w:t>、氨氮、SS，排放浓度类比《黑龙江亨泰农业综合开发有限公司鲜食玉米加工项目竣工环境保护验收监测报告表》，类比工艺及原料均一致，原料为玉米棒，工艺均为</w:t>
            </w:r>
            <w:r>
              <w:rPr>
                <w:rFonts w:hint="default" w:ascii="Times New Roman" w:hAnsi="Times New Roman" w:cs="Times New Roman"/>
                <w:b w:val="0"/>
                <w:bCs w:val="0"/>
                <w:color w:val="auto"/>
                <w:sz w:val="24"/>
                <w:szCs w:val="24"/>
                <w:lang w:val="en-US" w:eastAsia="zh-CN"/>
              </w:rPr>
              <w:t>鲜食</w:t>
            </w:r>
            <w:r>
              <w:rPr>
                <w:rFonts w:hint="default" w:ascii="Times New Roman" w:hAnsi="Times New Roman" w:cs="Times New Roman"/>
                <w:b w:val="0"/>
                <w:bCs w:val="0"/>
                <w:color w:val="auto"/>
                <w:sz w:val="24"/>
                <w:szCs w:val="24"/>
              </w:rPr>
              <w:t>玉米加工（包含清洗及在锅内采用</w:t>
            </w:r>
            <w:r>
              <w:rPr>
                <w:rFonts w:hint="default" w:ascii="Times New Roman" w:hAnsi="Times New Roman" w:cs="Times New Roman"/>
                <w:b w:val="0"/>
                <w:bCs w:val="0"/>
                <w:color w:val="auto"/>
                <w:sz w:val="24"/>
                <w:szCs w:val="24"/>
                <w:lang w:val="en-US" w:eastAsia="zh-CN"/>
              </w:rPr>
              <w:t>蒸汽</w:t>
            </w:r>
            <w:r>
              <w:rPr>
                <w:rFonts w:hint="default" w:ascii="Times New Roman" w:hAnsi="Times New Roman" w:cs="Times New Roman"/>
                <w:b w:val="0"/>
                <w:bCs w:val="0"/>
                <w:color w:val="auto"/>
                <w:sz w:val="24"/>
                <w:szCs w:val="24"/>
              </w:rPr>
              <w:t>进行蒸煮工艺），均无污水处理站，类比COD排放浓度为120mg/L，氨氮排放浓度为9.09mg/L，SS排放浓度为85mg/L，BOD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rPr>
              <w:t>排放浓度为45.1mg/L，</w:t>
            </w:r>
            <w:r>
              <w:rPr>
                <w:rFonts w:hint="default" w:ascii="Times New Roman" w:hAnsi="Times New Roman" w:cs="Times New Roman"/>
                <w:b w:val="0"/>
                <w:bCs w:val="0"/>
                <w:color w:val="auto"/>
                <w:sz w:val="24"/>
                <w:szCs w:val="24"/>
                <w:lang w:val="en-US" w:eastAsia="zh-CN"/>
              </w:rPr>
              <w:t>则</w:t>
            </w:r>
            <w:r>
              <w:rPr>
                <w:rFonts w:hint="default" w:ascii="Times New Roman" w:hAnsi="Times New Roman" w:cs="Times New Roman"/>
                <w:b w:val="0"/>
                <w:bCs w:val="0"/>
                <w:color w:val="auto"/>
                <w:sz w:val="24"/>
                <w:szCs w:val="24"/>
              </w:rPr>
              <w:t>项目</w:t>
            </w:r>
            <w:r>
              <w:rPr>
                <w:rFonts w:hint="default" w:ascii="Times New Roman" w:hAnsi="Times New Roman" w:cs="Times New Roman"/>
                <w:b w:val="0"/>
                <w:bCs w:val="0"/>
                <w:color w:val="auto"/>
                <w:sz w:val="24"/>
                <w:szCs w:val="24"/>
                <w:lang w:eastAsia="zh-CN"/>
              </w:rPr>
              <w:t>清洗废水</w:t>
            </w:r>
            <w:r>
              <w:rPr>
                <w:rFonts w:hint="default" w:ascii="Times New Roman" w:hAnsi="Times New Roman" w:cs="Times New Roman"/>
                <w:b w:val="0"/>
                <w:bCs w:val="0"/>
                <w:color w:val="auto"/>
                <w:sz w:val="24"/>
                <w:szCs w:val="24"/>
              </w:rPr>
              <w:t>中COD产生量为0.</w:t>
            </w:r>
            <w:r>
              <w:rPr>
                <w:rFonts w:hint="default" w:ascii="Times New Roman" w:hAnsi="Times New Roman" w:cs="Times New Roman"/>
                <w:b w:val="0"/>
                <w:bCs w:val="0"/>
                <w:color w:val="auto"/>
                <w:sz w:val="24"/>
                <w:szCs w:val="24"/>
                <w:lang w:val="en-US" w:eastAsia="zh-CN"/>
              </w:rPr>
              <w:t>173</w:t>
            </w:r>
            <w:r>
              <w:rPr>
                <w:rFonts w:hint="default" w:ascii="Times New Roman" w:hAnsi="Times New Roman" w:cs="Times New Roman"/>
                <w:b w:val="0"/>
                <w:bCs w:val="0"/>
                <w:color w:val="auto"/>
                <w:sz w:val="24"/>
                <w:szCs w:val="24"/>
              </w:rPr>
              <w:t>t/a，氨氮产生量为0.0</w:t>
            </w:r>
            <w:r>
              <w:rPr>
                <w:rFonts w:hint="default" w:ascii="Times New Roman" w:hAnsi="Times New Roman" w:cs="Times New Roman"/>
                <w:b w:val="0"/>
                <w:bCs w:val="0"/>
                <w:color w:val="auto"/>
                <w:sz w:val="24"/>
                <w:szCs w:val="24"/>
                <w:lang w:val="en-US" w:eastAsia="zh-CN"/>
              </w:rPr>
              <w:t>13</w:t>
            </w:r>
            <w:r>
              <w:rPr>
                <w:rFonts w:hint="default" w:ascii="Times New Roman" w:hAnsi="Times New Roman" w:cs="Times New Roman"/>
                <w:b w:val="0"/>
                <w:bCs w:val="0"/>
                <w:color w:val="auto"/>
                <w:sz w:val="24"/>
                <w:szCs w:val="24"/>
              </w:rPr>
              <w:t>t/a，SS产生量为0.</w:t>
            </w:r>
            <w:r>
              <w:rPr>
                <w:rFonts w:hint="default" w:ascii="Times New Roman" w:hAnsi="Times New Roman" w:cs="Times New Roman"/>
                <w:b w:val="0"/>
                <w:bCs w:val="0"/>
                <w:color w:val="auto"/>
                <w:sz w:val="24"/>
                <w:szCs w:val="24"/>
                <w:lang w:val="en-US" w:eastAsia="zh-CN"/>
              </w:rPr>
              <w:t>122</w:t>
            </w:r>
            <w:r>
              <w:rPr>
                <w:rFonts w:hint="default" w:ascii="Times New Roman" w:hAnsi="Times New Roman" w:cs="Times New Roman"/>
                <w:b w:val="0"/>
                <w:bCs w:val="0"/>
                <w:color w:val="auto"/>
                <w:sz w:val="24"/>
                <w:szCs w:val="24"/>
              </w:rPr>
              <w:t>t/a，BOD</w:t>
            </w:r>
            <w:r>
              <w:rPr>
                <w:rFonts w:hint="default" w:ascii="Times New Roman" w:hAnsi="Times New Roman" w:cs="Times New Roman"/>
                <w:b w:val="0"/>
                <w:bCs w:val="0"/>
                <w:color w:val="auto"/>
                <w:sz w:val="24"/>
                <w:szCs w:val="24"/>
                <w:vertAlign w:val="subscript"/>
              </w:rPr>
              <w:t>5</w:t>
            </w:r>
            <w:r>
              <w:rPr>
                <w:rFonts w:hint="default" w:ascii="Times New Roman" w:hAnsi="Times New Roman" w:cs="Times New Roman"/>
                <w:b w:val="0"/>
                <w:bCs w:val="0"/>
                <w:color w:val="auto"/>
                <w:sz w:val="24"/>
                <w:szCs w:val="24"/>
              </w:rPr>
              <w:t>产生量为0.0</w:t>
            </w:r>
            <w:r>
              <w:rPr>
                <w:rFonts w:hint="default" w:ascii="Times New Roman" w:hAnsi="Times New Roman" w:cs="Times New Roman"/>
                <w:b w:val="0"/>
                <w:bCs w:val="0"/>
                <w:color w:val="auto"/>
                <w:sz w:val="24"/>
                <w:szCs w:val="24"/>
                <w:lang w:val="en-US" w:eastAsia="zh-CN"/>
              </w:rPr>
              <w:t>65</w:t>
            </w:r>
            <w:r>
              <w:rPr>
                <w:rFonts w:hint="default" w:ascii="Times New Roman" w:hAnsi="Times New Roman" w:cs="Times New Roman"/>
                <w:b w:val="0"/>
                <w:bCs w:val="0"/>
                <w:color w:val="auto"/>
                <w:sz w:val="24"/>
                <w:szCs w:val="24"/>
              </w:rPr>
              <w:t>t/a。</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③锅炉排污水及软化处理废水：</w:t>
            </w:r>
            <w:r>
              <w:rPr>
                <w:rFonts w:hint="default" w:ascii="Times New Roman" w:hAnsi="Times New Roman" w:cs="Times New Roman"/>
                <w:b w:val="0"/>
                <w:bCs/>
                <w:color w:val="auto"/>
                <w:sz w:val="24"/>
                <w:szCs w:val="24"/>
              </w:rPr>
              <w:t>根据物料平衡，本项目</w:t>
            </w:r>
            <w:r>
              <w:rPr>
                <w:rFonts w:hint="default" w:ascii="Times New Roman" w:hAnsi="Times New Roman" w:cs="Times New Roman"/>
                <w:b w:val="0"/>
                <w:bCs/>
                <w:color w:val="auto"/>
                <w:sz w:val="24"/>
                <w:szCs w:val="24"/>
                <w:lang w:eastAsia="zh-CN"/>
              </w:rPr>
              <w:t>软化处理废水</w:t>
            </w:r>
            <w:r>
              <w:rPr>
                <w:rFonts w:hint="default" w:ascii="Times New Roman" w:hAnsi="Times New Roman" w:cs="Times New Roman"/>
                <w:b w:val="0"/>
                <w:bCs/>
                <w:color w:val="auto"/>
                <w:sz w:val="24"/>
                <w:szCs w:val="24"/>
              </w:rPr>
              <w:t>排放量</w:t>
            </w:r>
            <w:r>
              <w:rPr>
                <w:rFonts w:hint="default" w:ascii="Times New Roman" w:hAnsi="Times New Roman" w:cs="Times New Roman"/>
                <w:b w:val="0"/>
                <w:bCs/>
                <w:color w:val="auto"/>
                <w:sz w:val="24"/>
                <w:szCs w:val="24"/>
                <w:lang w:val="en-US" w:eastAsia="zh-CN"/>
              </w:rPr>
              <w:t>21</w:t>
            </w:r>
            <w:r>
              <w:rPr>
                <w:rFonts w:hint="default" w:ascii="Times New Roman" w:hAnsi="Times New Roman" w:cs="Times New Roman"/>
                <w:b w:val="0"/>
                <w:bCs/>
                <w:color w:val="auto"/>
                <w:sz w:val="24"/>
              </w:rPr>
              <w:t>t/d</w:t>
            </w:r>
            <w:r>
              <w:rPr>
                <w:rFonts w:hint="default" w:ascii="Times New Roman" w:hAnsi="Times New Roman" w:cs="Times New Roman"/>
                <w:b w:val="0"/>
                <w:bCs/>
                <w:color w:val="auto"/>
                <w:sz w:val="24"/>
                <w:szCs w:val="24"/>
              </w:rPr>
              <w:t>，</w:t>
            </w:r>
            <w:r>
              <w:rPr>
                <w:rFonts w:hint="default" w:ascii="Times New Roman" w:hAnsi="Times New Roman" w:cs="Times New Roman"/>
                <w:b w:val="0"/>
                <w:bCs/>
                <w:color w:val="auto"/>
                <w:sz w:val="24"/>
                <w:szCs w:val="24"/>
                <w:lang w:eastAsia="zh-CN"/>
              </w:rPr>
              <w:t>锅炉</w:t>
            </w:r>
            <w:r>
              <w:rPr>
                <w:rFonts w:hint="default" w:ascii="Times New Roman" w:hAnsi="Times New Roman" w:cs="Times New Roman"/>
                <w:b w:val="0"/>
                <w:bCs/>
                <w:color w:val="auto"/>
                <w:sz w:val="24"/>
                <w:szCs w:val="24"/>
              </w:rPr>
              <w:t>排污水量为</w:t>
            </w:r>
            <w:r>
              <w:rPr>
                <w:rFonts w:hint="default" w:ascii="Times New Roman" w:hAnsi="Times New Roman" w:cs="Times New Roman"/>
                <w:b w:val="0"/>
                <w:bCs/>
                <w:color w:val="auto"/>
                <w:sz w:val="24"/>
                <w:szCs w:val="24"/>
                <w:lang w:val="en-US" w:eastAsia="zh-CN"/>
              </w:rPr>
              <w:t>12</w:t>
            </w:r>
            <w:r>
              <w:rPr>
                <w:rFonts w:hint="default" w:ascii="Times New Roman" w:hAnsi="Times New Roman" w:cs="Times New Roman"/>
                <w:b w:val="0"/>
                <w:bCs/>
                <w:color w:val="auto"/>
                <w:sz w:val="24"/>
              </w:rPr>
              <w:t>t/d</w:t>
            </w:r>
            <w:r>
              <w:rPr>
                <w:rFonts w:hint="default" w:ascii="Times New Roman" w:hAnsi="Times New Roman" w:cs="Times New Roman"/>
                <w:b w:val="0"/>
                <w:bCs/>
                <w:color w:val="auto"/>
                <w:sz w:val="24"/>
                <w:szCs w:val="24"/>
              </w:rPr>
              <w:t>，</w:t>
            </w:r>
            <w:r>
              <w:rPr>
                <w:rFonts w:hint="default" w:ascii="Times New Roman" w:hAnsi="Times New Roman" w:eastAsia="宋体" w:cs="Times New Roman"/>
                <w:b w:val="0"/>
                <w:bCs/>
                <w:color w:val="auto"/>
              </w:rPr>
              <w:t>锅炉排污水及软化处理废水</w:t>
            </w:r>
            <w:r>
              <w:rPr>
                <w:rFonts w:hint="default" w:ascii="Times New Roman" w:hAnsi="Times New Roman" w:cs="Times New Roman"/>
                <w:b w:val="0"/>
                <w:bCs/>
                <w:color w:val="auto"/>
                <w:lang w:val="en-US" w:eastAsia="zh-CN"/>
              </w:rPr>
              <w:t>排放量</w:t>
            </w:r>
            <w:r>
              <w:rPr>
                <w:rFonts w:hint="default" w:ascii="Times New Roman" w:hAnsi="Times New Roman" w:cs="Times New Roman"/>
                <w:b w:val="0"/>
                <w:bCs/>
                <w:color w:val="auto"/>
                <w:sz w:val="24"/>
                <w:szCs w:val="24"/>
              </w:rPr>
              <w:t>为</w:t>
            </w:r>
            <w:r>
              <w:rPr>
                <w:rFonts w:hint="default" w:ascii="Times New Roman" w:hAnsi="Times New Roman" w:cs="Times New Roman"/>
                <w:b w:val="0"/>
                <w:bCs/>
                <w:color w:val="auto"/>
                <w:sz w:val="24"/>
                <w:szCs w:val="24"/>
                <w:lang w:val="en-US" w:eastAsia="zh-CN"/>
              </w:rPr>
              <w:t>33</w:t>
            </w:r>
            <w:r>
              <w:rPr>
                <w:rFonts w:hint="default" w:ascii="Times New Roman" w:hAnsi="Times New Roman" w:cs="Times New Roman"/>
                <w:b w:val="0"/>
                <w:bCs/>
                <w:color w:val="auto"/>
                <w:sz w:val="24"/>
                <w:szCs w:val="24"/>
              </w:rPr>
              <w:t>t/d</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1980</w:t>
            </w:r>
            <w:r>
              <w:rPr>
                <w:rFonts w:hint="default" w:ascii="Times New Roman" w:hAnsi="Times New Roman" w:cs="Times New Roman"/>
                <w:b w:val="0"/>
                <w:bCs/>
                <w:color w:val="auto"/>
                <w:sz w:val="24"/>
                <w:szCs w:val="24"/>
              </w:rPr>
              <w:t>t/a</w:t>
            </w:r>
            <w:r>
              <w:rPr>
                <w:rFonts w:hint="default" w:ascii="Times New Roman" w:hAnsi="Times New Roman" w:cs="Times New Roman"/>
                <w:b w:val="0"/>
                <w:bCs/>
                <w:color w:val="auto"/>
                <w:sz w:val="24"/>
                <w:szCs w:val="24"/>
                <w:lang w:eastAsia="zh-CN"/>
              </w:rPr>
              <w:t>。</w:t>
            </w:r>
            <w:r>
              <w:rPr>
                <w:rFonts w:hint="default" w:ascii="Times New Roman" w:hAnsi="Times New Roman" w:eastAsia="宋体" w:cs="Times New Roman"/>
                <w:b w:val="0"/>
                <w:bCs w:val="0"/>
                <w:color w:val="auto"/>
                <w:sz w:val="24"/>
                <w:szCs w:val="24"/>
              </w:rPr>
              <w:t>根据《排放源统计调查产排污核算方法和系数手册》（公告2021年 第24号），4430工业锅炉（热力生产和供应行业）产排污系数表-工业废水量和化学需氧量，化学需氧量产污系数为30g/t原料可知，本项目年燃料量</w:t>
            </w:r>
            <w:r>
              <w:rPr>
                <w:rFonts w:hint="eastAsia" w:ascii="Times New Roman" w:cs="Times New Roman"/>
                <w:b w:val="0"/>
                <w:bCs w:val="0"/>
                <w:color w:val="auto"/>
                <w:sz w:val="24"/>
                <w:szCs w:val="24"/>
                <w:lang w:val="en-US" w:eastAsia="zh-CN"/>
              </w:rPr>
              <w:t>1665</w:t>
            </w:r>
            <w:r>
              <w:rPr>
                <w:rFonts w:hint="default" w:ascii="Times New Roman" w:hAnsi="Times New Roman" w:eastAsia="宋体" w:cs="Times New Roman"/>
                <w:b w:val="0"/>
                <w:bCs w:val="0"/>
                <w:color w:val="auto"/>
                <w:sz w:val="24"/>
                <w:szCs w:val="24"/>
              </w:rPr>
              <w:t>t，故锅炉排污水及软化处理废水中COD产生浓度为</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val="en-US" w:eastAsia="zh-CN"/>
              </w:rPr>
              <w:t>5.</w:t>
            </w:r>
            <w:r>
              <w:rPr>
                <w:rFonts w:hint="eastAsia" w:ascii="Times New Roman" w:cs="Times New Roman"/>
                <w:b w:val="0"/>
                <w:bCs w:val="0"/>
                <w:color w:val="auto"/>
                <w:sz w:val="24"/>
                <w:szCs w:val="24"/>
                <w:lang w:val="en-US" w:eastAsia="zh-CN"/>
              </w:rPr>
              <w:t>0</w:t>
            </w:r>
            <w:r>
              <w:rPr>
                <w:rFonts w:hint="default" w:ascii="Times New Roman" w:hAnsi="Times New Roman" w:eastAsia="宋体" w:cs="Times New Roman"/>
                <w:b w:val="0"/>
                <w:bCs w:val="0"/>
                <w:color w:val="auto"/>
                <w:sz w:val="24"/>
                <w:szCs w:val="24"/>
              </w:rPr>
              <w:t>mg/L，产生量为0.0</w:t>
            </w:r>
            <w:r>
              <w:rPr>
                <w:rFonts w:hint="eastAsia" w:ascii="Times New Roman"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t/a。</w:t>
            </w:r>
            <w:r>
              <w:rPr>
                <w:rFonts w:hint="default" w:ascii="Times New Roman" w:hAnsi="Times New Roman" w:cs="Times New Roman"/>
                <w:b w:val="0"/>
                <w:bCs w:val="0"/>
                <w:color w:val="auto"/>
                <w:sz w:val="24"/>
                <w:szCs w:val="24"/>
                <w:lang w:val="en-US" w:eastAsia="zh-CN"/>
              </w:rPr>
              <w:t>本项目</w:t>
            </w:r>
            <w:r>
              <w:rPr>
                <w:rFonts w:hint="default" w:ascii="Times New Roman" w:hAnsi="Times New Roman" w:cs="Times New Roman"/>
                <w:b w:val="0"/>
                <w:bCs w:val="0"/>
                <w:color w:val="auto"/>
                <w:sz w:val="24"/>
                <w:szCs w:val="24"/>
                <w:lang w:eastAsia="zh-CN"/>
              </w:rPr>
              <w:t>锅炉排污水及软化处理废水用于锅炉房、灰渣间、厂区洒水降尘，不外排</w:t>
            </w:r>
            <w:r>
              <w:rPr>
                <w:rFonts w:hint="default" w:ascii="Times New Roman" w:hAnsi="Times New Roman" w:cs="Times New Roman"/>
                <w:b w:val="0"/>
                <w:bCs w:val="0"/>
                <w:color w:val="auto"/>
                <w:sz w:val="24"/>
                <w:szCs w:val="24"/>
              </w:rPr>
              <w:t>。</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清洗</w:t>
            </w:r>
            <w:r>
              <w:rPr>
                <w:rFonts w:hint="default" w:ascii="Times New Roman" w:hAnsi="Times New Roman" w:cs="Times New Roman"/>
                <w:b w:val="0"/>
                <w:bCs w:val="0"/>
                <w:color w:val="auto"/>
                <w:sz w:val="24"/>
                <w:szCs w:val="24"/>
                <w:lang w:val="en-US" w:eastAsia="zh-CN"/>
              </w:rPr>
              <w:t>废</w:t>
            </w:r>
            <w:r>
              <w:rPr>
                <w:rFonts w:hint="default" w:ascii="Times New Roman" w:hAnsi="Times New Roman" w:eastAsia="宋体" w:cs="Times New Roman"/>
                <w:b w:val="0"/>
                <w:bCs w:val="0"/>
                <w:color w:val="auto"/>
                <w:sz w:val="24"/>
                <w:szCs w:val="24"/>
                <w:lang w:eastAsia="zh-CN"/>
              </w:rPr>
              <w:t>水</w:t>
            </w:r>
            <w:r>
              <w:rPr>
                <w:rFonts w:hint="default" w:ascii="Times New Roman" w:hAnsi="Times New Roman" w:eastAsia="宋体" w:cs="Times New Roman"/>
                <w:b w:val="0"/>
                <w:bCs w:val="0"/>
                <w:color w:val="auto"/>
                <w:sz w:val="24"/>
                <w:szCs w:val="24"/>
              </w:rPr>
              <w:t>、车间地面冲洗废水暂存于30m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的密闭储罐内</w:t>
            </w:r>
            <w:r>
              <w:rPr>
                <w:rFonts w:hint="default" w:ascii="Times New Roman" w:hAnsi="Times New Roman"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清洗</w:t>
            </w:r>
            <w:r>
              <w:rPr>
                <w:rFonts w:hint="default" w:ascii="Times New Roman" w:hAnsi="Times New Roman" w:cs="Times New Roman"/>
                <w:b w:val="0"/>
                <w:bCs w:val="0"/>
                <w:color w:val="auto"/>
                <w:sz w:val="24"/>
                <w:szCs w:val="24"/>
                <w:lang w:val="en-US" w:eastAsia="zh-CN"/>
              </w:rPr>
              <w:t>废</w:t>
            </w:r>
            <w:r>
              <w:rPr>
                <w:rFonts w:hint="default" w:ascii="Times New Roman" w:hAnsi="Times New Roman" w:eastAsia="宋体" w:cs="Times New Roman"/>
                <w:b w:val="0"/>
                <w:bCs w:val="0"/>
                <w:color w:val="auto"/>
                <w:sz w:val="24"/>
                <w:szCs w:val="24"/>
                <w:lang w:eastAsia="zh-CN"/>
              </w:rPr>
              <w:t>水</w:t>
            </w:r>
            <w:r>
              <w:rPr>
                <w:rFonts w:hint="default" w:ascii="Times New Roman" w:hAnsi="Times New Roman" w:eastAsia="宋体" w:cs="Times New Roman"/>
                <w:b w:val="0"/>
                <w:bCs w:val="0"/>
                <w:color w:val="auto"/>
                <w:sz w:val="24"/>
                <w:szCs w:val="24"/>
              </w:rPr>
              <w:t>、车间地面冲洗废</w:t>
            </w:r>
            <w:r>
              <w:rPr>
                <w:rFonts w:hint="default" w:ascii="Times New Roman" w:hAnsi="Times New Roman" w:eastAsia="宋体" w:cs="Times New Roman"/>
                <w:b w:val="0"/>
                <w:bCs w:val="0"/>
                <w:color w:val="auto"/>
                <w:sz w:val="24"/>
                <w:szCs w:val="24"/>
                <w:highlight w:val="none"/>
              </w:rPr>
              <w:t>水</w:t>
            </w:r>
            <w:r>
              <w:rPr>
                <w:rFonts w:hint="default" w:ascii="Times New Roman" w:hAnsi="Times New Roman" w:eastAsia="宋体" w:cs="Times New Roman"/>
                <w:b w:val="0"/>
                <w:bCs w:val="0"/>
                <w:color w:val="auto"/>
                <w:sz w:val="24"/>
                <w:szCs w:val="24"/>
                <w:highlight w:val="none"/>
                <w:lang w:val="en-US" w:eastAsia="zh-CN"/>
              </w:rPr>
              <w:t>污染物浓度较低，</w:t>
            </w:r>
            <w:r>
              <w:rPr>
                <w:rFonts w:hint="default" w:ascii="Times New Roman" w:hAnsi="Times New Roman" w:eastAsia="宋体" w:cs="Times New Roman"/>
                <w:b w:val="0"/>
                <w:bCs w:val="0"/>
                <w:color w:val="auto"/>
                <w:sz w:val="24"/>
                <w:szCs w:val="24"/>
                <w:highlight w:val="none"/>
              </w:rPr>
              <w:t>每天由专用罐车拉运至</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处理，日产日清。</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表4-</w:t>
            </w:r>
            <w:r>
              <w:rPr>
                <w:rFonts w:hint="eastAsia" w:ascii="Times New Roman" w:hAnsi="Times New Roman" w:cs="Times New Roman" w:eastAsiaTheme="minorEastAsia"/>
                <w:b/>
                <w:bCs/>
                <w:color w:val="auto"/>
                <w:sz w:val="21"/>
                <w:szCs w:val="24"/>
                <w:lang w:val="en-US" w:eastAsia="zh-CN"/>
              </w:rPr>
              <w:t xml:space="preserve">5 </w:t>
            </w:r>
            <w:r>
              <w:rPr>
                <w:rFonts w:hint="default" w:ascii="Times New Roman" w:hAnsi="Times New Roman" w:cs="Times New Roman" w:eastAsiaTheme="minorEastAsia"/>
                <w:b/>
                <w:bCs/>
                <w:color w:val="auto"/>
                <w:sz w:val="21"/>
                <w:szCs w:val="24"/>
              </w:rPr>
              <w:t xml:space="preserve"> 废水污染物排放情况表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95"/>
              <w:gridCol w:w="509"/>
              <w:gridCol w:w="673"/>
              <w:gridCol w:w="673"/>
              <w:gridCol w:w="668"/>
              <w:gridCol w:w="405"/>
              <w:gridCol w:w="778"/>
              <w:gridCol w:w="405"/>
              <w:gridCol w:w="871"/>
              <w:gridCol w:w="673"/>
              <w:gridCol w:w="670"/>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restar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排放源</w:t>
                  </w:r>
                </w:p>
              </w:tc>
              <w:tc>
                <w:tcPr>
                  <w:tcW w:w="419" w:type="pct"/>
                  <w:vMerge w:val="restar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污染物</w:t>
                  </w:r>
                </w:p>
              </w:tc>
              <w:tc>
                <w:tcPr>
                  <w:tcW w:w="1522" w:type="pct"/>
                  <w:gridSpan w:val="4"/>
                  <w:tcBorders>
                    <w:tl2br w:val="nil"/>
                    <w:tr2bl w:val="nil"/>
                  </w:tcBorders>
                  <w:vAlign w:val="center"/>
                </w:tcPr>
                <w:p>
                  <w:pPr>
                    <w:ind w:firstLine="420"/>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污染物产生</w:t>
                  </w:r>
                </w:p>
              </w:tc>
              <w:tc>
                <w:tcPr>
                  <w:tcW w:w="244" w:type="pct"/>
                  <w:vMerge w:val="restar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治理措施</w:t>
                  </w:r>
                </w:p>
              </w:tc>
              <w:tc>
                <w:tcPr>
                  <w:tcW w:w="469" w:type="pct"/>
                  <w:vMerge w:val="restar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去除</w:t>
                  </w:r>
                </w:p>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效率</w:t>
                  </w:r>
                </w:p>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w:t>
                  </w:r>
                </w:p>
              </w:tc>
              <w:tc>
                <w:tcPr>
                  <w:tcW w:w="1580" w:type="pct"/>
                  <w:gridSpan w:val="4"/>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污染物排放</w:t>
                  </w:r>
                </w:p>
              </w:tc>
              <w:tc>
                <w:tcPr>
                  <w:tcW w:w="305" w:type="pct"/>
                  <w:vMerge w:val="restar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排放时间</w:t>
                  </w:r>
                </w:p>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9" w:type="pct"/>
                  <w:vMerge w:val="continue"/>
                  <w:tcBorders>
                    <w:tl2br w:val="nil"/>
                    <w:tr2bl w:val="nil"/>
                  </w:tcBorders>
                  <w:vAlign w:val="center"/>
                </w:tcPr>
                <w:p>
                  <w:pPr>
                    <w:jc w:val="center"/>
                    <w:rPr>
                      <w:rFonts w:hint="default" w:ascii="Times New Roman" w:hAnsi="Times New Roman" w:cs="Times New Roman"/>
                      <w:spacing w:val="-20"/>
                      <w:szCs w:val="21"/>
                    </w:rPr>
                  </w:pPr>
                </w:p>
              </w:tc>
              <w:tc>
                <w:tcPr>
                  <w:tcW w:w="419"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c>
                <w:tcPr>
                  <w:tcW w:w="307"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核算方法</w:t>
                  </w:r>
                </w:p>
              </w:tc>
              <w:tc>
                <w:tcPr>
                  <w:tcW w:w="406"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产生废水量m</w:t>
                  </w:r>
                  <w:r>
                    <w:rPr>
                      <w:rFonts w:hint="default" w:ascii="Times New Roman" w:hAnsi="Times New Roman" w:cs="Times New Roman"/>
                      <w:spacing w:val="-20"/>
                      <w:kern w:val="0"/>
                      <w:szCs w:val="21"/>
                      <w:vertAlign w:val="superscript"/>
                    </w:rPr>
                    <w:t>3</w:t>
                  </w:r>
                  <w:r>
                    <w:rPr>
                      <w:rFonts w:hint="default" w:ascii="Times New Roman" w:hAnsi="Times New Roman" w:cs="Times New Roman"/>
                      <w:spacing w:val="-20"/>
                      <w:kern w:val="0"/>
                      <w:szCs w:val="21"/>
                    </w:rPr>
                    <w:t>/a</w:t>
                  </w:r>
                </w:p>
              </w:tc>
              <w:tc>
                <w:tcPr>
                  <w:tcW w:w="406"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产生浓度mg/L</w:t>
                  </w:r>
                </w:p>
              </w:tc>
              <w:tc>
                <w:tcPr>
                  <w:tcW w:w="403"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产生量t/a</w:t>
                  </w:r>
                </w:p>
              </w:tc>
              <w:tc>
                <w:tcPr>
                  <w:tcW w:w="244"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c>
                <w:tcPr>
                  <w:tcW w:w="469"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c>
                <w:tcPr>
                  <w:tcW w:w="244"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核算方法</w:t>
                  </w:r>
                </w:p>
              </w:tc>
              <w:tc>
                <w:tcPr>
                  <w:tcW w:w="525"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排放废水量m</w:t>
                  </w:r>
                  <w:r>
                    <w:rPr>
                      <w:rFonts w:hint="default" w:ascii="Times New Roman" w:hAnsi="Times New Roman" w:cs="Times New Roman"/>
                      <w:spacing w:val="-20"/>
                      <w:kern w:val="0"/>
                      <w:szCs w:val="21"/>
                      <w:vertAlign w:val="superscript"/>
                    </w:rPr>
                    <w:t>3</w:t>
                  </w:r>
                  <w:r>
                    <w:rPr>
                      <w:rFonts w:hint="default" w:ascii="Times New Roman" w:hAnsi="Times New Roman" w:cs="Times New Roman"/>
                      <w:spacing w:val="-20"/>
                      <w:kern w:val="0"/>
                      <w:szCs w:val="21"/>
                    </w:rPr>
                    <w:t>/a</w:t>
                  </w:r>
                </w:p>
              </w:tc>
              <w:tc>
                <w:tcPr>
                  <w:tcW w:w="406"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排放浓度mg/L</w:t>
                  </w:r>
                </w:p>
              </w:tc>
              <w:tc>
                <w:tcPr>
                  <w:tcW w:w="404" w:type="pct"/>
                  <w:tcBorders>
                    <w:tl2br w:val="nil"/>
                    <w:tr2bl w:val="nil"/>
                  </w:tcBorders>
                  <w:vAlign w:val="center"/>
                </w:tcPr>
                <w:p>
                  <w:pPr>
                    <w:jc w:val="center"/>
                    <w:rPr>
                      <w:rFonts w:hint="default" w:ascii="Times New Roman" w:hAnsi="Times New Roman" w:cs="Times New Roman"/>
                      <w:spacing w:val="-20"/>
                      <w:kern w:val="0"/>
                      <w:szCs w:val="21"/>
                    </w:rPr>
                  </w:pPr>
                  <w:r>
                    <w:rPr>
                      <w:rFonts w:hint="default" w:ascii="Times New Roman" w:hAnsi="Times New Roman" w:cs="Times New Roman"/>
                      <w:spacing w:val="-20"/>
                      <w:kern w:val="0"/>
                      <w:szCs w:val="21"/>
                    </w:rPr>
                    <w:t>排放量t/a</w:t>
                  </w:r>
                </w:p>
              </w:tc>
              <w:tc>
                <w:tcPr>
                  <w:tcW w:w="305"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59" w:type="pct"/>
                  <w:vMerge w:val="restart"/>
                  <w:tcBorders>
                    <w:tl2br w:val="nil"/>
                    <w:tr2bl w:val="nil"/>
                  </w:tcBorders>
                  <w:vAlign w:val="center"/>
                </w:tcPr>
                <w:p>
                  <w:pPr>
                    <w:jc w:val="center"/>
                    <w:rPr>
                      <w:rFonts w:hint="default" w:ascii="Times New Roman" w:hAnsi="Times New Roman" w:cs="Times New Roman"/>
                      <w:spacing w:val="-20"/>
                      <w:szCs w:val="21"/>
                    </w:rPr>
                  </w:pPr>
                  <w:r>
                    <w:rPr>
                      <w:rFonts w:hint="default" w:ascii="Times New Roman" w:hAnsi="Times New Roman" w:cs="Times New Roman"/>
                      <w:spacing w:val="-20"/>
                      <w:szCs w:val="21"/>
                    </w:rPr>
                    <w:t>生活污水</w:t>
                  </w: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COD</w:t>
                  </w:r>
                </w:p>
              </w:tc>
              <w:tc>
                <w:tcPr>
                  <w:tcW w:w="307" w:type="pct"/>
                  <w:vMerge w:val="restar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系数法</w:t>
                  </w:r>
                </w:p>
              </w:tc>
              <w:tc>
                <w:tcPr>
                  <w:tcW w:w="406"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768</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300</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0.23</w:t>
                  </w:r>
                </w:p>
              </w:tc>
              <w:tc>
                <w:tcPr>
                  <w:tcW w:w="24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物料平衡法</w:t>
                  </w:r>
                </w:p>
              </w:tc>
              <w:tc>
                <w:tcPr>
                  <w:tcW w:w="52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768</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300</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0.23</w:t>
                  </w:r>
                </w:p>
              </w:tc>
              <w:tc>
                <w:tcPr>
                  <w:tcW w:w="30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59" w:type="pct"/>
                  <w:vMerge w:val="continue"/>
                  <w:tcBorders>
                    <w:tl2br w:val="nil"/>
                    <w:tr2bl w:val="nil"/>
                  </w:tcBorders>
                  <w:vAlign w:val="center"/>
                </w:tcPr>
                <w:p>
                  <w:pPr>
                    <w:jc w:val="center"/>
                    <w:rPr>
                      <w:rFonts w:hint="default" w:ascii="Times New Roman" w:hAnsi="Times New Roman" w:cs="Times New Roman"/>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氨氮</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0.023</w:t>
                  </w:r>
                </w:p>
              </w:tc>
              <w:tc>
                <w:tcPr>
                  <w:tcW w:w="24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0.023</w:t>
                  </w:r>
                </w:p>
              </w:tc>
              <w:tc>
                <w:tcPr>
                  <w:tcW w:w="30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459" w:type="pct"/>
                  <w:tcBorders>
                    <w:tl2br w:val="nil"/>
                    <w:tr2bl w:val="nil"/>
                  </w:tcBorders>
                  <w:vAlign w:val="center"/>
                </w:tcPr>
                <w:p>
                  <w:pPr>
                    <w:jc w:val="center"/>
                    <w:rPr>
                      <w:rFonts w:hint="default" w:ascii="Times New Roman" w:hAnsi="Times New Roman" w:cs="Times New Roman"/>
                      <w:spacing w:val="-20"/>
                      <w:szCs w:val="21"/>
                    </w:rPr>
                  </w:pPr>
                  <w:r>
                    <w:rPr>
                      <w:rFonts w:hint="default" w:ascii="Times New Roman" w:hAnsi="Times New Roman" w:cs="Times New Roman"/>
                      <w:spacing w:val="-20"/>
                      <w:szCs w:val="21"/>
                    </w:rPr>
                    <w:t>锅炉排污水及软化处理废水</w:t>
                  </w: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COD</w:t>
                  </w:r>
                </w:p>
              </w:tc>
              <w:tc>
                <w:tcPr>
                  <w:tcW w:w="307"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系数法</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w:t>
                  </w:r>
                  <w:r>
                    <w:rPr>
                      <w:rFonts w:hint="eastAsia" w:cs="Times New Roman"/>
                      <w:szCs w:val="21"/>
                      <w:lang w:val="en-US" w:eastAsia="zh-CN"/>
                    </w:rPr>
                    <w:t>980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25.</w:t>
                  </w:r>
                  <w:r>
                    <w:rPr>
                      <w:rFonts w:hint="eastAsia" w:ascii="Times New Roman" w:hAnsi="Times New Roman" w:cs="Times New Roman"/>
                      <w:szCs w:val="21"/>
                      <w:lang w:val="en-US" w:eastAsia="zh-CN"/>
                    </w:rPr>
                    <w:t>0</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w:t>
                  </w:r>
                  <w:r>
                    <w:rPr>
                      <w:rFonts w:hint="eastAsia" w:cs="Times New Roman"/>
                      <w:szCs w:val="21"/>
                      <w:lang w:val="en-US" w:eastAsia="zh-CN"/>
                    </w:rPr>
                    <w:t>5</w:t>
                  </w:r>
                </w:p>
              </w:tc>
              <w:tc>
                <w:tcPr>
                  <w:tcW w:w="24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物料平衡法</w:t>
                  </w:r>
                </w:p>
              </w:tc>
              <w:tc>
                <w:tcPr>
                  <w:tcW w:w="525"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1</w:t>
                  </w:r>
                  <w:r>
                    <w:rPr>
                      <w:rFonts w:hint="eastAsia" w:cs="Times New Roman"/>
                      <w:szCs w:val="21"/>
                      <w:lang w:val="en-US" w:eastAsia="zh-CN"/>
                    </w:rPr>
                    <w:t>980</w:t>
                  </w:r>
                </w:p>
              </w:tc>
              <w:tc>
                <w:tcPr>
                  <w:tcW w:w="406"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25.</w:t>
                  </w:r>
                  <w:r>
                    <w:rPr>
                      <w:rFonts w:hint="eastAsia" w:ascii="Times New Roman" w:hAnsi="Times New Roman" w:cs="Times New Roman"/>
                      <w:szCs w:val="21"/>
                      <w:lang w:val="en-US" w:eastAsia="zh-CN"/>
                    </w:rPr>
                    <w:t>0</w:t>
                  </w:r>
                </w:p>
              </w:tc>
              <w:tc>
                <w:tcPr>
                  <w:tcW w:w="404" w:type="pc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lang w:val="en-US" w:eastAsia="zh-CN"/>
                    </w:rPr>
                    <w:t>0.0</w:t>
                  </w:r>
                  <w:r>
                    <w:rPr>
                      <w:rFonts w:hint="eastAsia" w:cs="Times New Roman"/>
                      <w:szCs w:val="21"/>
                      <w:lang w:val="en-US" w:eastAsia="zh-CN"/>
                    </w:rPr>
                    <w:t>5</w:t>
                  </w:r>
                </w:p>
              </w:tc>
              <w:tc>
                <w:tcPr>
                  <w:tcW w:w="305"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459" w:type="pct"/>
                  <w:tcBorders>
                    <w:tl2br w:val="nil"/>
                    <w:tr2bl w:val="nil"/>
                  </w:tcBorders>
                  <w:vAlign w:val="center"/>
                </w:tcPr>
                <w:p>
                  <w:pPr>
                    <w:jc w:val="center"/>
                    <w:rPr>
                      <w:rFonts w:hint="default" w:ascii="Times New Roman" w:hAnsi="Times New Roman" w:cs="Times New Roman"/>
                      <w:spacing w:val="-20"/>
                      <w:szCs w:val="21"/>
                    </w:rPr>
                  </w:pPr>
                  <w:r>
                    <w:rPr>
                      <w:rFonts w:hint="default" w:ascii="Times New Roman" w:hAnsi="Times New Roman" w:cs="Times New Roman"/>
                      <w:spacing w:val="-20"/>
                      <w:szCs w:val="21"/>
                    </w:rPr>
                    <w:t>车间地面冲洗废水</w:t>
                  </w: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SS</w:t>
                  </w:r>
                </w:p>
              </w:tc>
              <w:tc>
                <w:tcPr>
                  <w:tcW w:w="307"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类比法</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eastAsia" w:cs="Times New Roman"/>
                      <w:szCs w:val="21"/>
                      <w:lang w:val="en-US" w:eastAsia="zh-CN"/>
                    </w:rPr>
                    <w:t>240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300</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w:t>
                  </w:r>
                  <w:r>
                    <w:rPr>
                      <w:rFonts w:hint="eastAsia" w:cs="Times New Roman"/>
                      <w:szCs w:val="21"/>
                      <w:lang w:val="en-US" w:eastAsia="zh-CN"/>
                    </w:rPr>
                    <w:t>72</w:t>
                  </w:r>
                </w:p>
              </w:tc>
              <w:tc>
                <w:tcPr>
                  <w:tcW w:w="24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871"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cs="Times New Roman"/>
                      <w:szCs w:val="21"/>
                      <w:lang w:val="en-US" w:eastAsia="zh-CN"/>
                    </w:rPr>
                    <w:t>240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300</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w:t>
                  </w:r>
                  <w:r>
                    <w:rPr>
                      <w:rFonts w:hint="eastAsia" w:cs="Times New Roman"/>
                      <w:szCs w:val="21"/>
                      <w:lang w:val="en-US" w:eastAsia="zh-CN"/>
                    </w:rPr>
                    <w:t>72</w:t>
                  </w:r>
                </w:p>
              </w:tc>
              <w:tc>
                <w:tcPr>
                  <w:tcW w:w="305"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459" w:type="pct"/>
                  <w:vMerge w:val="restart"/>
                  <w:tcBorders>
                    <w:tl2br w:val="nil"/>
                    <w:tr2bl w:val="nil"/>
                  </w:tcBorders>
                  <w:vAlign w:val="center"/>
                </w:tcPr>
                <w:p>
                  <w:pPr>
                    <w:rPr>
                      <w:rFonts w:hint="default" w:ascii="Times New Roman" w:hAnsi="Times New Roman" w:eastAsia="宋体" w:cs="Times New Roman"/>
                      <w:bCs/>
                      <w:spacing w:val="-20"/>
                      <w:szCs w:val="21"/>
                      <w:lang w:eastAsia="zh-CN"/>
                    </w:rPr>
                  </w:pPr>
                  <w:r>
                    <w:rPr>
                      <w:rFonts w:hint="default" w:ascii="Times New Roman" w:hAnsi="Times New Roman" w:cs="Times New Roman"/>
                      <w:spacing w:val="-20"/>
                      <w:szCs w:val="21"/>
                    </w:rPr>
                    <w:t>清洗</w:t>
                  </w:r>
                  <w:r>
                    <w:rPr>
                      <w:rFonts w:hint="default" w:ascii="Times New Roman" w:hAnsi="Times New Roman" w:cs="Times New Roman"/>
                      <w:spacing w:val="-20"/>
                      <w:szCs w:val="21"/>
                      <w:lang w:val="en-US" w:eastAsia="zh-CN"/>
                    </w:rPr>
                    <w:t>废水</w:t>
                  </w: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COD</w:t>
                  </w:r>
                </w:p>
              </w:tc>
              <w:tc>
                <w:tcPr>
                  <w:tcW w:w="307" w:type="pct"/>
                  <w:vMerge w:val="restar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系数法</w:t>
                  </w:r>
                </w:p>
              </w:tc>
              <w:tc>
                <w:tcPr>
                  <w:tcW w:w="406"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1440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120</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0.173</w:t>
                  </w:r>
                </w:p>
              </w:tc>
              <w:tc>
                <w:tcPr>
                  <w:tcW w:w="244"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1440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120</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0.173</w:t>
                  </w:r>
                </w:p>
              </w:tc>
              <w:tc>
                <w:tcPr>
                  <w:tcW w:w="30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氨氮</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9.09</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0.013</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9.09</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0.013</w:t>
                  </w:r>
                </w:p>
              </w:tc>
              <w:tc>
                <w:tcPr>
                  <w:tcW w:w="30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SS</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85</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0.122</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85</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0.122</w:t>
                  </w:r>
                </w:p>
              </w:tc>
              <w:tc>
                <w:tcPr>
                  <w:tcW w:w="30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BOD</w:t>
                  </w:r>
                  <w:r>
                    <w:rPr>
                      <w:rFonts w:hint="default" w:ascii="Times New Roman" w:hAnsi="Times New Roman" w:cs="Times New Roman"/>
                      <w:color w:val="auto"/>
                      <w:spacing w:val="-20"/>
                      <w:kern w:val="0"/>
                      <w:szCs w:val="21"/>
                      <w:vertAlign w:val="subscript"/>
                    </w:rPr>
                    <w:t>5</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45.1</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0.065</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45.1</w:t>
                  </w:r>
                </w:p>
              </w:tc>
              <w:tc>
                <w:tcPr>
                  <w:tcW w:w="404"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0.065</w:t>
                  </w:r>
                </w:p>
              </w:tc>
              <w:tc>
                <w:tcPr>
                  <w:tcW w:w="30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restart"/>
                  <w:tcBorders>
                    <w:tl2br w:val="nil"/>
                    <w:tr2bl w:val="nil"/>
                  </w:tcBorders>
                  <w:vAlign w:val="center"/>
                </w:tcPr>
                <w:p>
                  <w:pPr>
                    <w:jc w:val="center"/>
                    <w:rPr>
                      <w:rFonts w:hint="default" w:ascii="Times New Roman" w:hAnsi="Times New Roman" w:cs="Times New Roman"/>
                      <w:bCs/>
                      <w:spacing w:val="-20"/>
                      <w:szCs w:val="21"/>
                    </w:rPr>
                  </w:pPr>
                  <w:r>
                    <w:rPr>
                      <w:rFonts w:hint="default" w:ascii="Times New Roman" w:hAnsi="Times New Roman" w:cs="Times New Roman"/>
                      <w:spacing w:val="-20"/>
                      <w:szCs w:val="21"/>
                    </w:rPr>
                    <w:t>污水储罐混合废水</w:t>
                  </w: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COD</w:t>
                  </w:r>
                </w:p>
              </w:tc>
              <w:tc>
                <w:tcPr>
                  <w:tcW w:w="307" w:type="pct"/>
                  <w:vMerge w:val="restar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w:t>
                  </w:r>
                </w:p>
              </w:tc>
              <w:tc>
                <w:tcPr>
                  <w:tcW w:w="406"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w:t>
                  </w:r>
                  <w:r>
                    <w:rPr>
                      <w:rFonts w:hint="eastAsia" w:cs="Times New Roman"/>
                      <w:szCs w:val="21"/>
                      <w:lang w:val="en-US" w:eastAsia="zh-CN"/>
                    </w:rPr>
                    <w:t>680</w:t>
                  </w: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10</w:t>
                  </w:r>
                  <w:r>
                    <w:rPr>
                      <w:rFonts w:hint="eastAsia" w:cs="Times New Roman"/>
                      <w:szCs w:val="21"/>
                      <w:lang w:val="en-US" w:eastAsia="zh-CN"/>
                    </w:rPr>
                    <w:t>3</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0.173</w:t>
                  </w:r>
                </w:p>
              </w:tc>
              <w:tc>
                <w:tcPr>
                  <w:tcW w:w="244"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469"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244"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w:t>
                  </w:r>
                </w:p>
              </w:tc>
              <w:tc>
                <w:tcPr>
                  <w:tcW w:w="52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16</w:t>
                  </w:r>
                  <w:r>
                    <w:rPr>
                      <w:rFonts w:hint="eastAsia" w:cs="Times New Roman"/>
                      <w:szCs w:val="21"/>
                      <w:lang w:val="en-US" w:eastAsia="zh-CN"/>
                    </w:rPr>
                    <w:t>80</w:t>
                  </w:r>
                </w:p>
              </w:tc>
              <w:tc>
                <w:tcPr>
                  <w:tcW w:w="673"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10</w:t>
                  </w:r>
                  <w:r>
                    <w:rPr>
                      <w:rFonts w:hint="eastAsia" w:cs="Times New Roman"/>
                      <w:szCs w:val="21"/>
                      <w:lang w:val="en-US" w:eastAsia="zh-CN"/>
                    </w:rPr>
                    <w:t>3</w:t>
                  </w:r>
                </w:p>
              </w:tc>
              <w:tc>
                <w:tcPr>
                  <w:tcW w:w="670"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0.173</w:t>
                  </w:r>
                </w:p>
              </w:tc>
              <w:tc>
                <w:tcPr>
                  <w:tcW w:w="305" w:type="pct"/>
                  <w:vMerge w:val="restart"/>
                  <w:tcBorders>
                    <w:tl2br w:val="nil"/>
                    <w:tr2bl w:val="nil"/>
                  </w:tcBorders>
                  <w:vAlign w:val="center"/>
                </w:tcPr>
                <w:p>
                  <w:pPr>
                    <w:jc w:val="center"/>
                    <w:rPr>
                      <w:rFonts w:hint="default" w:ascii="Times New Roman" w:hAnsi="Times New Roman" w:cs="Times New Roman"/>
                      <w:szCs w:val="21"/>
                      <w:lang w:val="en-US" w:eastAsia="zh-CN"/>
                    </w:rPr>
                  </w:pPr>
                  <w:r>
                    <w:rPr>
                      <w:rFonts w:hint="eastAsia" w:cs="Times New Roman"/>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氨氮</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w:t>
                  </w:r>
                  <w:r>
                    <w:rPr>
                      <w:rFonts w:hint="eastAsia" w:cs="Times New Roman"/>
                      <w:szCs w:val="21"/>
                      <w:lang w:val="en-US" w:eastAsia="zh-CN"/>
                    </w:rPr>
                    <w:t>74</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0.013</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673"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7.</w:t>
                  </w:r>
                  <w:r>
                    <w:rPr>
                      <w:rFonts w:hint="eastAsia" w:cs="Times New Roman"/>
                      <w:szCs w:val="21"/>
                      <w:lang w:val="en-US" w:eastAsia="zh-CN"/>
                    </w:rPr>
                    <w:t>74</w:t>
                  </w:r>
                </w:p>
              </w:tc>
              <w:tc>
                <w:tcPr>
                  <w:tcW w:w="670"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0.013</w:t>
                  </w:r>
                </w:p>
              </w:tc>
              <w:tc>
                <w:tcPr>
                  <w:tcW w:w="305"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SS</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11</w:t>
                  </w:r>
                  <w:r>
                    <w:rPr>
                      <w:rFonts w:hint="eastAsia" w:cs="Times New Roman"/>
                      <w:szCs w:val="21"/>
                      <w:lang w:val="en-US" w:eastAsia="zh-CN"/>
                    </w:rPr>
                    <w:t>5.5</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w:t>
                  </w:r>
                  <w:r>
                    <w:rPr>
                      <w:rFonts w:hint="eastAsia" w:cs="Times New Roman"/>
                      <w:szCs w:val="21"/>
                      <w:lang w:val="en-US" w:eastAsia="zh-CN"/>
                    </w:rPr>
                    <w:t>94</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673"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11</w:t>
                  </w:r>
                  <w:r>
                    <w:rPr>
                      <w:rFonts w:hint="eastAsia" w:cs="Times New Roman"/>
                      <w:szCs w:val="21"/>
                      <w:lang w:val="en-US" w:eastAsia="zh-CN"/>
                    </w:rPr>
                    <w:t>5.5</w:t>
                  </w:r>
                </w:p>
              </w:tc>
              <w:tc>
                <w:tcPr>
                  <w:tcW w:w="670"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0.1</w:t>
                  </w:r>
                  <w:r>
                    <w:rPr>
                      <w:rFonts w:hint="eastAsia" w:cs="Times New Roman"/>
                      <w:szCs w:val="21"/>
                      <w:lang w:val="en-US" w:eastAsia="zh-CN"/>
                    </w:rPr>
                    <w:t>94</w:t>
                  </w:r>
                </w:p>
              </w:tc>
              <w:tc>
                <w:tcPr>
                  <w:tcW w:w="305"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vMerge w:val="continue"/>
                  <w:tcBorders>
                    <w:tl2br w:val="nil"/>
                    <w:tr2bl w:val="nil"/>
                  </w:tcBorders>
                  <w:vAlign w:val="center"/>
                </w:tcPr>
                <w:p>
                  <w:pPr>
                    <w:jc w:val="center"/>
                    <w:rPr>
                      <w:rFonts w:hint="default" w:ascii="Times New Roman" w:hAnsi="Times New Roman" w:cs="Times New Roman"/>
                      <w:bCs/>
                      <w:spacing w:val="-20"/>
                      <w:szCs w:val="21"/>
                    </w:rPr>
                  </w:pPr>
                </w:p>
              </w:tc>
              <w:tc>
                <w:tcPr>
                  <w:tcW w:w="419" w:type="pct"/>
                  <w:tcBorders>
                    <w:tl2br w:val="nil"/>
                    <w:tr2bl w:val="nil"/>
                  </w:tcBorders>
                  <w:vAlign w:val="center"/>
                </w:tcPr>
                <w:p>
                  <w:pPr>
                    <w:jc w:val="center"/>
                    <w:rPr>
                      <w:rFonts w:hint="default" w:ascii="Times New Roman" w:hAnsi="Times New Roman" w:cs="Times New Roman"/>
                      <w:color w:val="auto"/>
                      <w:spacing w:val="-20"/>
                      <w:kern w:val="0"/>
                      <w:szCs w:val="21"/>
                    </w:rPr>
                  </w:pPr>
                  <w:r>
                    <w:rPr>
                      <w:rFonts w:hint="default" w:ascii="Times New Roman" w:hAnsi="Times New Roman" w:cs="Times New Roman"/>
                      <w:color w:val="auto"/>
                      <w:spacing w:val="-20"/>
                      <w:kern w:val="0"/>
                      <w:szCs w:val="21"/>
                    </w:rPr>
                    <w:t>BOD</w:t>
                  </w:r>
                  <w:r>
                    <w:rPr>
                      <w:rFonts w:hint="default" w:ascii="Times New Roman" w:hAnsi="Times New Roman" w:cs="Times New Roman"/>
                      <w:color w:val="auto"/>
                      <w:spacing w:val="-20"/>
                      <w:kern w:val="0"/>
                      <w:szCs w:val="21"/>
                      <w:vertAlign w:val="subscript"/>
                    </w:rPr>
                    <w:t>5</w:t>
                  </w:r>
                </w:p>
              </w:tc>
              <w:tc>
                <w:tcPr>
                  <w:tcW w:w="307" w:type="pct"/>
                  <w:vMerge w:val="continue"/>
                  <w:tcBorders>
                    <w:tl2br w:val="nil"/>
                    <w:tr2bl w:val="nil"/>
                  </w:tcBorders>
                  <w:vAlign w:val="center"/>
                </w:tcPr>
                <w:p>
                  <w:pPr>
                    <w:jc w:val="center"/>
                    <w:rPr>
                      <w:rFonts w:hint="default" w:ascii="Times New Roman" w:hAnsi="Times New Roman" w:cs="Times New Roman"/>
                      <w:color w:val="auto"/>
                      <w:spacing w:val="-20"/>
                      <w:kern w:val="0"/>
                      <w:szCs w:val="21"/>
                    </w:rPr>
                  </w:pPr>
                </w:p>
              </w:tc>
              <w:tc>
                <w:tcPr>
                  <w:tcW w:w="406"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06"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r>
                    <w:rPr>
                      <w:rFonts w:hint="eastAsia" w:cs="Times New Roman"/>
                      <w:szCs w:val="21"/>
                      <w:lang w:val="en-US" w:eastAsia="zh-CN"/>
                    </w:rPr>
                    <w:t>8.7</w:t>
                  </w:r>
                </w:p>
              </w:tc>
              <w:tc>
                <w:tcPr>
                  <w:tcW w:w="403" w:type="pct"/>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0.065</w:t>
                  </w: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469"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244"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525" w:type="pct"/>
                  <w:vMerge w:val="continue"/>
                  <w:tcBorders>
                    <w:tl2br w:val="nil"/>
                    <w:tr2bl w:val="nil"/>
                  </w:tcBorders>
                  <w:vAlign w:val="center"/>
                </w:tcPr>
                <w:p>
                  <w:pPr>
                    <w:jc w:val="center"/>
                    <w:rPr>
                      <w:rFonts w:hint="default" w:ascii="Times New Roman" w:hAnsi="Times New Roman" w:cs="Times New Roman"/>
                      <w:szCs w:val="21"/>
                      <w:lang w:val="en-US" w:eastAsia="zh-CN"/>
                    </w:rPr>
                  </w:pPr>
                </w:p>
              </w:tc>
              <w:tc>
                <w:tcPr>
                  <w:tcW w:w="673"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3</w:t>
                  </w:r>
                  <w:r>
                    <w:rPr>
                      <w:rFonts w:hint="eastAsia" w:cs="Times New Roman"/>
                      <w:szCs w:val="21"/>
                      <w:lang w:val="en-US" w:eastAsia="zh-CN"/>
                    </w:rPr>
                    <w:t>8.7</w:t>
                  </w:r>
                </w:p>
              </w:tc>
              <w:tc>
                <w:tcPr>
                  <w:tcW w:w="670" w:type="dxa"/>
                  <w:tcBorders>
                    <w:tl2br w:val="nil"/>
                    <w:tr2bl w:val="nil"/>
                  </w:tcBorders>
                  <w:vAlign w:val="center"/>
                </w:tcPr>
                <w:p>
                  <w:pPr>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0.065</w:t>
                  </w:r>
                </w:p>
              </w:tc>
              <w:tc>
                <w:tcPr>
                  <w:tcW w:w="305" w:type="pct"/>
                  <w:vMerge w:val="continue"/>
                  <w:tcBorders>
                    <w:tl2br w:val="nil"/>
                    <w:tr2bl w:val="nil"/>
                  </w:tcBorders>
                  <w:vAlign w:val="center"/>
                </w:tcPr>
                <w:p>
                  <w:pPr>
                    <w:jc w:val="center"/>
                    <w:rPr>
                      <w:rFonts w:hint="default" w:ascii="Times New Roman" w:hAnsi="Times New Roman" w:cs="Times New Roman"/>
                      <w:spacing w:val="-20"/>
                      <w:kern w:val="0"/>
                      <w:szCs w:val="21"/>
                    </w:rPr>
                  </w:pPr>
                </w:p>
              </w:tc>
            </w:tr>
          </w:tbl>
          <w:p>
            <w:pPr>
              <w:pStyle w:val="68"/>
              <w:spacing w:line="240" w:lineRule="auto"/>
              <w:rPr>
                <w:rFonts w:hint="default" w:ascii="Times New Roman" w:hAnsi="Times New Roman" w:cs="Times New Roman" w:eastAsiaTheme="minorEastAsia"/>
                <w:b/>
                <w:bCs/>
                <w:color w:val="auto"/>
                <w:sz w:val="21"/>
                <w:szCs w:val="24"/>
              </w:rPr>
            </w:pP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表4-</w:t>
            </w:r>
            <w:r>
              <w:rPr>
                <w:rFonts w:hint="eastAsia" w:ascii="Times New Roman" w:hAnsi="Times New Roman" w:cs="Times New Roman" w:eastAsiaTheme="minorEastAsia"/>
                <w:b/>
                <w:bCs/>
                <w:color w:val="auto"/>
                <w:sz w:val="21"/>
                <w:szCs w:val="24"/>
                <w:lang w:val="en-US" w:eastAsia="zh-CN"/>
              </w:rPr>
              <w:t>6</w:t>
            </w:r>
            <w:r>
              <w:rPr>
                <w:rFonts w:hint="default" w:ascii="Times New Roman" w:hAnsi="Times New Roman" w:cs="Times New Roman" w:eastAsiaTheme="minorEastAsia"/>
                <w:b/>
                <w:bCs/>
                <w:color w:val="auto"/>
                <w:sz w:val="21"/>
                <w:szCs w:val="24"/>
              </w:rPr>
              <w:t xml:space="preserve">  废水类别、污染物及污染治理设施信息表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56"/>
              <w:gridCol w:w="829"/>
              <w:gridCol w:w="479"/>
              <w:gridCol w:w="781"/>
              <w:gridCol w:w="767"/>
              <w:gridCol w:w="767"/>
              <w:gridCol w:w="711"/>
              <w:gridCol w:w="428"/>
              <w:gridCol w:w="819"/>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58"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396"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废水类别</w:t>
                  </w:r>
                </w:p>
              </w:tc>
              <w:tc>
                <w:tcPr>
                  <w:tcW w:w="500"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污染物种类</w:t>
                  </w:r>
                </w:p>
              </w:tc>
              <w:tc>
                <w:tcPr>
                  <w:tcW w:w="289"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排放去向</w:t>
                  </w:r>
                </w:p>
              </w:tc>
              <w:tc>
                <w:tcPr>
                  <w:tcW w:w="471"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排放规律</w:t>
                  </w:r>
                </w:p>
              </w:tc>
              <w:tc>
                <w:tcPr>
                  <w:tcW w:w="1355" w:type="pct"/>
                  <w:gridSpan w:val="3"/>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污染治理设施</w:t>
                  </w:r>
                </w:p>
              </w:tc>
              <w:tc>
                <w:tcPr>
                  <w:tcW w:w="258"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排放口编号</w:t>
                  </w:r>
                </w:p>
              </w:tc>
              <w:tc>
                <w:tcPr>
                  <w:tcW w:w="494"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排放口设置是否符合要求</w:t>
                  </w:r>
                </w:p>
              </w:tc>
              <w:tc>
                <w:tcPr>
                  <w:tcW w:w="980"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58" w:type="pct"/>
                  <w:vMerge w:val="continue"/>
                  <w:vAlign w:val="center"/>
                </w:tcPr>
                <w:p>
                  <w:pPr>
                    <w:widowControl/>
                    <w:jc w:val="center"/>
                    <w:rPr>
                      <w:rFonts w:hint="default" w:ascii="Times New Roman" w:hAnsi="Times New Roman" w:cs="Times New Roman"/>
                      <w:szCs w:val="21"/>
                    </w:rPr>
                  </w:pPr>
                </w:p>
              </w:tc>
              <w:tc>
                <w:tcPr>
                  <w:tcW w:w="396" w:type="pct"/>
                  <w:vMerge w:val="continue"/>
                  <w:vAlign w:val="center"/>
                </w:tcPr>
                <w:p>
                  <w:pPr>
                    <w:widowControl/>
                    <w:jc w:val="center"/>
                    <w:rPr>
                      <w:rFonts w:hint="default" w:ascii="Times New Roman" w:hAnsi="Times New Roman" w:cs="Times New Roman"/>
                      <w:szCs w:val="21"/>
                    </w:rPr>
                  </w:pPr>
                </w:p>
              </w:tc>
              <w:tc>
                <w:tcPr>
                  <w:tcW w:w="500" w:type="pct"/>
                  <w:vMerge w:val="continue"/>
                  <w:vAlign w:val="center"/>
                </w:tcPr>
                <w:p>
                  <w:pPr>
                    <w:widowControl/>
                    <w:jc w:val="center"/>
                    <w:rPr>
                      <w:rFonts w:hint="default" w:ascii="Times New Roman" w:hAnsi="Times New Roman" w:cs="Times New Roman"/>
                      <w:szCs w:val="21"/>
                    </w:rPr>
                  </w:pPr>
                </w:p>
              </w:tc>
              <w:tc>
                <w:tcPr>
                  <w:tcW w:w="289" w:type="pct"/>
                  <w:vMerge w:val="continue"/>
                  <w:vAlign w:val="center"/>
                </w:tcPr>
                <w:p>
                  <w:pPr>
                    <w:widowControl/>
                    <w:jc w:val="center"/>
                    <w:rPr>
                      <w:rFonts w:hint="default" w:ascii="Times New Roman" w:hAnsi="Times New Roman" w:cs="Times New Roman"/>
                      <w:szCs w:val="21"/>
                    </w:rPr>
                  </w:pPr>
                </w:p>
              </w:tc>
              <w:tc>
                <w:tcPr>
                  <w:tcW w:w="471" w:type="pct"/>
                  <w:vMerge w:val="continue"/>
                  <w:vAlign w:val="center"/>
                </w:tcPr>
                <w:p>
                  <w:pPr>
                    <w:widowControl/>
                    <w:jc w:val="center"/>
                    <w:rPr>
                      <w:rFonts w:hint="default" w:ascii="Times New Roman" w:hAnsi="Times New Roman" w:cs="Times New Roman"/>
                      <w:szCs w:val="21"/>
                    </w:rPr>
                  </w:pPr>
                </w:p>
              </w:tc>
              <w:tc>
                <w:tcPr>
                  <w:tcW w:w="46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污染治理设施编号</w:t>
                  </w:r>
                </w:p>
              </w:tc>
              <w:tc>
                <w:tcPr>
                  <w:tcW w:w="46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污染治理设施名称</w:t>
                  </w:r>
                </w:p>
              </w:tc>
              <w:tc>
                <w:tcPr>
                  <w:tcW w:w="42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污染治理设施工艺</w:t>
                  </w:r>
                </w:p>
              </w:tc>
              <w:tc>
                <w:tcPr>
                  <w:tcW w:w="258" w:type="pct"/>
                  <w:vMerge w:val="continue"/>
                  <w:vAlign w:val="center"/>
                </w:tcPr>
                <w:p>
                  <w:pPr>
                    <w:widowControl/>
                    <w:jc w:val="center"/>
                    <w:rPr>
                      <w:rFonts w:hint="default" w:ascii="Times New Roman" w:hAnsi="Times New Roman" w:cs="Times New Roman"/>
                      <w:szCs w:val="21"/>
                    </w:rPr>
                  </w:pPr>
                </w:p>
              </w:tc>
              <w:tc>
                <w:tcPr>
                  <w:tcW w:w="494" w:type="pct"/>
                  <w:vMerge w:val="continue"/>
                  <w:vAlign w:val="center"/>
                </w:tcPr>
                <w:p>
                  <w:pPr>
                    <w:widowControl/>
                    <w:jc w:val="center"/>
                    <w:rPr>
                      <w:rFonts w:hint="default" w:ascii="Times New Roman" w:hAnsi="Times New Roman" w:cs="Times New Roman"/>
                      <w:szCs w:val="21"/>
                    </w:rPr>
                  </w:pPr>
                </w:p>
              </w:tc>
              <w:tc>
                <w:tcPr>
                  <w:tcW w:w="980" w:type="pct"/>
                  <w:vMerge w:val="continue"/>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5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396"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废水</w:t>
                  </w:r>
                </w:p>
              </w:tc>
              <w:tc>
                <w:tcPr>
                  <w:tcW w:w="500" w:type="pc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w:t>
                  </w:r>
                </w:p>
                <w:p>
                  <w:pPr>
                    <w:pStyle w:val="2"/>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、氨氮、</w:t>
                  </w:r>
                </w:p>
                <w:p>
                  <w:pPr>
                    <w:pStyle w:val="2"/>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SS</w:t>
                  </w:r>
                </w:p>
              </w:tc>
              <w:tc>
                <w:tcPr>
                  <w:tcW w:w="289" w:type="pct"/>
                  <w:vAlign w:val="center"/>
                </w:tcPr>
                <w:p>
                  <w:pPr>
                    <w:jc w:val="center"/>
                    <w:rPr>
                      <w:rFonts w:hint="eastAsia" w:ascii="Times New Roman" w:hAnsi="Times New Roman" w:eastAsia="宋体" w:cs="Times New Roman"/>
                      <w:szCs w:val="21"/>
                      <w:highlight w:val="none"/>
                      <w:lang w:eastAsia="zh-CN"/>
                    </w:rPr>
                  </w:pPr>
                  <w:r>
                    <w:rPr>
                      <w:rFonts w:hint="eastAsia" w:cs="Times New Roman"/>
                      <w:bCs/>
                      <w:szCs w:val="21"/>
                      <w:highlight w:val="none"/>
                      <w:lang w:eastAsia="zh-CN"/>
                    </w:rPr>
                    <w:t>五常市民泉污水处理有限公司</w:t>
                  </w:r>
                </w:p>
              </w:tc>
              <w:tc>
                <w:tcPr>
                  <w:tcW w:w="471" w:type="pc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间断排放，排放期间流量不稳定且无规律，但不属于冲击性排放</w:t>
                  </w:r>
                </w:p>
              </w:tc>
              <w:tc>
                <w:tcPr>
                  <w:tcW w:w="46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46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42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258"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DW001</w:t>
                  </w:r>
                </w:p>
              </w:tc>
              <w:tc>
                <w:tcPr>
                  <w:tcW w:w="494"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是</w:t>
                  </w:r>
                  <w:r>
                    <w:rPr>
                      <w:rFonts w:hint="default" w:ascii="Times New Roman" w:hAnsi="Times New Roman" w:cs="Times New Roman"/>
                      <w:bCs/>
                      <w:kern w:val="0"/>
                      <w:szCs w:val="21"/>
                    </w:rPr>
                    <w:sym w:font="Wingdings 2" w:char="0052"/>
                  </w:r>
                </w:p>
                <w:p>
                  <w:pPr>
                    <w:jc w:val="center"/>
                    <w:rPr>
                      <w:rFonts w:hint="default" w:ascii="Times New Roman" w:hAnsi="Times New Roman" w:cs="Times New Roman"/>
                      <w:szCs w:val="21"/>
                    </w:rPr>
                  </w:pPr>
                  <w:r>
                    <w:rPr>
                      <w:rFonts w:hint="default" w:ascii="Times New Roman" w:hAnsi="Times New Roman" w:cs="Times New Roman"/>
                      <w:szCs w:val="21"/>
                    </w:rPr>
                    <w:t>否</w:t>
                  </w:r>
                  <w:r>
                    <w:rPr>
                      <w:rFonts w:hint="default" w:ascii="Times New Roman" w:hAnsi="Times New Roman" w:cs="Times New Roman"/>
                      <w:bCs/>
                      <w:kern w:val="0"/>
                      <w:szCs w:val="21"/>
                    </w:rPr>
                    <w:sym w:font="Wingdings 2" w:char="00A3"/>
                  </w:r>
                </w:p>
              </w:tc>
              <w:tc>
                <w:tcPr>
                  <w:tcW w:w="980" w:type="pct"/>
                  <w:vAlign w:val="center"/>
                </w:tcPr>
                <w:p>
                  <w:pPr>
                    <w:jc w:val="center"/>
                    <w:rPr>
                      <w:rFonts w:hint="default" w:ascii="Times New Roman" w:hAnsi="Times New Roman" w:cs="Times New Roman"/>
                      <w:bCs/>
                      <w:kern w:val="0"/>
                      <w:szCs w:val="21"/>
                    </w:rPr>
                  </w:pPr>
                  <w:r>
                    <w:rPr>
                      <w:rFonts w:hint="default" w:ascii="Times New Roman" w:hAnsi="Times New Roman" w:cs="Times New Roman"/>
                      <w:bCs/>
                      <w:kern w:val="0"/>
                      <w:szCs w:val="21"/>
                    </w:rPr>
                    <w:sym w:font="Wingdings 2" w:char="0052"/>
                  </w:r>
                  <w:r>
                    <w:rPr>
                      <w:rFonts w:hint="default" w:ascii="Times New Roman" w:hAnsi="Times New Roman" w:cs="Times New Roman"/>
                      <w:bCs/>
                      <w:kern w:val="0"/>
                      <w:szCs w:val="21"/>
                    </w:rPr>
                    <w:t>企业总排</w:t>
                  </w:r>
                </w:p>
                <w:p>
                  <w:pPr>
                    <w:jc w:val="center"/>
                    <w:rPr>
                      <w:rFonts w:hint="default" w:ascii="Times New Roman" w:hAnsi="Times New Roman" w:cs="Times New Roman"/>
                      <w:bCs/>
                      <w:kern w:val="0"/>
                      <w:szCs w:val="21"/>
                    </w:rPr>
                  </w:pPr>
                  <w:r>
                    <w:rPr>
                      <w:rFonts w:hint="default" w:ascii="Times New Roman" w:hAnsi="Times New Roman" w:cs="Times New Roman"/>
                      <w:bCs/>
                      <w:kern w:val="0"/>
                      <w:szCs w:val="21"/>
                    </w:rPr>
                    <w:sym w:font="Wingdings 2" w:char="00A3"/>
                  </w:r>
                  <w:r>
                    <w:rPr>
                      <w:rFonts w:hint="default" w:ascii="Times New Roman" w:hAnsi="Times New Roman" w:cs="Times New Roman"/>
                      <w:bCs/>
                      <w:kern w:val="0"/>
                      <w:szCs w:val="21"/>
                    </w:rPr>
                    <w:t>雨水总排</w:t>
                  </w:r>
                </w:p>
                <w:p>
                  <w:pPr>
                    <w:jc w:val="center"/>
                    <w:rPr>
                      <w:rFonts w:hint="default" w:ascii="Times New Roman" w:hAnsi="Times New Roman" w:cs="Times New Roman"/>
                      <w:bCs/>
                      <w:kern w:val="0"/>
                      <w:szCs w:val="21"/>
                    </w:rPr>
                  </w:pPr>
                  <w:r>
                    <w:rPr>
                      <w:rFonts w:hint="default" w:ascii="Times New Roman" w:hAnsi="Times New Roman" w:cs="Times New Roman"/>
                      <w:bCs/>
                      <w:kern w:val="0"/>
                      <w:szCs w:val="21"/>
                    </w:rPr>
                    <w:sym w:font="Wingdings 2" w:char="00A3"/>
                  </w:r>
                  <w:r>
                    <w:rPr>
                      <w:rFonts w:hint="default" w:ascii="Times New Roman" w:hAnsi="Times New Roman" w:cs="Times New Roman"/>
                      <w:bCs/>
                      <w:kern w:val="0"/>
                      <w:szCs w:val="21"/>
                    </w:rPr>
                    <w:t>清净下水排放</w:t>
                  </w:r>
                </w:p>
                <w:p>
                  <w:pPr>
                    <w:jc w:val="center"/>
                    <w:rPr>
                      <w:rFonts w:hint="default" w:ascii="Times New Roman" w:hAnsi="Times New Roman" w:cs="Times New Roman"/>
                      <w:bCs/>
                      <w:kern w:val="0"/>
                      <w:szCs w:val="21"/>
                    </w:rPr>
                  </w:pPr>
                  <w:r>
                    <w:rPr>
                      <w:rFonts w:hint="default" w:ascii="Times New Roman" w:hAnsi="Times New Roman" w:cs="Times New Roman"/>
                      <w:bCs/>
                      <w:kern w:val="0"/>
                      <w:szCs w:val="21"/>
                    </w:rPr>
                    <w:sym w:font="Wingdings 2" w:char="00A3"/>
                  </w:r>
                  <w:r>
                    <w:rPr>
                      <w:rFonts w:hint="default" w:ascii="Times New Roman" w:hAnsi="Times New Roman" w:cs="Times New Roman"/>
                      <w:bCs/>
                      <w:kern w:val="0"/>
                      <w:szCs w:val="21"/>
                    </w:rPr>
                    <w:t>温排水排放</w:t>
                  </w:r>
                </w:p>
                <w:p>
                  <w:pPr>
                    <w:jc w:val="center"/>
                    <w:rPr>
                      <w:rFonts w:hint="default" w:ascii="Times New Roman" w:hAnsi="Times New Roman" w:cs="Times New Roman"/>
                      <w:szCs w:val="21"/>
                    </w:rPr>
                  </w:pPr>
                  <w:r>
                    <w:rPr>
                      <w:rFonts w:hint="default" w:ascii="Times New Roman" w:hAnsi="Times New Roman" w:cs="Times New Roman"/>
                      <w:bCs/>
                      <w:kern w:val="0"/>
                      <w:szCs w:val="21"/>
                    </w:rPr>
                    <w:sym w:font="Wingdings 2" w:char="00A3"/>
                  </w:r>
                  <w:r>
                    <w:rPr>
                      <w:rFonts w:hint="default" w:ascii="Times New Roman" w:hAnsi="Times New Roman" w:cs="Times New Roman"/>
                      <w:bCs/>
                      <w:kern w:val="0"/>
                      <w:szCs w:val="21"/>
                    </w:rPr>
                    <w:t>车间或车间处理设施排放</w:t>
                  </w:r>
                </w:p>
              </w:tc>
            </w:tr>
          </w:tbl>
          <w:p>
            <w:pPr>
              <w:pStyle w:val="68"/>
              <w:spacing w:line="240" w:lineRule="auto"/>
              <w:rPr>
                <w:rFonts w:hint="default" w:ascii="Times New Roman" w:hAnsi="Times New Roman" w:cs="Times New Roman" w:eastAsiaTheme="minorEastAsia"/>
                <w:b/>
                <w:bCs/>
                <w:color w:val="auto"/>
                <w:sz w:val="21"/>
                <w:szCs w:val="24"/>
              </w:rPr>
            </w:pP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表4-</w:t>
            </w:r>
            <w:r>
              <w:rPr>
                <w:rFonts w:hint="eastAsia" w:ascii="Times New Roman" w:hAnsi="Times New Roman" w:cs="Times New Roman" w:eastAsiaTheme="minorEastAsia"/>
                <w:b/>
                <w:bCs/>
                <w:color w:val="auto"/>
                <w:sz w:val="21"/>
                <w:szCs w:val="24"/>
                <w:lang w:val="en-US" w:eastAsia="zh-CN"/>
              </w:rPr>
              <w:t>7</w:t>
            </w:r>
            <w:r>
              <w:rPr>
                <w:rFonts w:hint="default" w:ascii="Times New Roman" w:hAnsi="Times New Roman" w:cs="Times New Roman" w:eastAsiaTheme="minorEastAsia"/>
                <w:b/>
                <w:bCs/>
                <w:color w:val="auto"/>
                <w:sz w:val="21"/>
                <w:szCs w:val="24"/>
              </w:rPr>
              <w:t xml:space="preserve">  废水间接排放口基本情况表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1"/>
              <w:gridCol w:w="855"/>
              <w:gridCol w:w="868"/>
              <w:gridCol w:w="771"/>
              <w:gridCol w:w="665"/>
              <w:gridCol w:w="1144"/>
              <w:gridCol w:w="426"/>
              <w:gridCol w:w="426"/>
              <w:gridCol w:w="809"/>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序号</w:t>
                  </w:r>
                </w:p>
              </w:tc>
              <w:tc>
                <w:tcPr>
                  <w:tcW w:w="531"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排放口编号</w:t>
                  </w:r>
                </w:p>
              </w:tc>
              <w:tc>
                <w:tcPr>
                  <w:tcW w:w="1039" w:type="pct"/>
                  <w:gridSpan w:val="2"/>
                  <w:tcBorders>
                    <w:tl2br w:val="nil"/>
                    <w:tr2bl w:val="nil"/>
                  </w:tcBorders>
                  <w:vAlign w:val="center"/>
                </w:tcPr>
                <w:p>
                  <w:pPr>
                    <w:jc w:val="center"/>
                    <w:rPr>
                      <w:rFonts w:hint="default" w:ascii="Times New Roman" w:hAnsi="Times New Roman" w:cs="Times New Roman"/>
                      <w:szCs w:val="21"/>
                      <w:vertAlign w:val="superscript"/>
                    </w:rPr>
                  </w:pPr>
                  <w:r>
                    <w:rPr>
                      <w:rFonts w:hint="default" w:ascii="Times New Roman" w:hAnsi="Times New Roman" w:cs="Times New Roman"/>
                      <w:szCs w:val="21"/>
                    </w:rPr>
                    <w:t>排放口地理坐标（°）</w:t>
                  </w:r>
                </w:p>
              </w:tc>
              <w:tc>
                <w:tcPr>
                  <w:tcW w:w="465"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废水排放量/（万t/a）</w:t>
                  </w:r>
                </w:p>
              </w:tc>
              <w:tc>
                <w:tcPr>
                  <w:tcW w:w="401"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排放去向</w:t>
                  </w:r>
                </w:p>
              </w:tc>
              <w:tc>
                <w:tcPr>
                  <w:tcW w:w="690"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排放规律</w:t>
                  </w:r>
                </w:p>
              </w:tc>
              <w:tc>
                <w:tcPr>
                  <w:tcW w:w="257"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间歇排放时段</w:t>
                  </w:r>
                </w:p>
              </w:tc>
              <w:tc>
                <w:tcPr>
                  <w:tcW w:w="1356" w:type="pct"/>
                  <w:gridSpan w:val="3"/>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continue"/>
                  <w:tcBorders>
                    <w:tl2br w:val="nil"/>
                    <w:tr2bl w:val="nil"/>
                  </w:tcBorders>
                  <w:vAlign w:val="center"/>
                </w:tcPr>
                <w:p>
                  <w:pPr>
                    <w:widowControl/>
                    <w:jc w:val="left"/>
                    <w:rPr>
                      <w:rFonts w:hint="default" w:ascii="Times New Roman" w:hAnsi="Times New Roman" w:cs="Times New Roman"/>
                      <w:szCs w:val="21"/>
                    </w:rPr>
                  </w:pPr>
                </w:p>
              </w:tc>
              <w:tc>
                <w:tcPr>
                  <w:tcW w:w="531" w:type="pct"/>
                  <w:vMerge w:val="continue"/>
                  <w:tcBorders>
                    <w:tl2br w:val="nil"/>
                    <w:tr2bl w:val="nil"/>
                  </w:tcBorders>
                  <w:vAlign w:val="center"/>
                </w:tcPr>
                <w:p>
                  <w:pPr>
                    <w:widowControl/>
                    <w:jc w:val="left"/>
                    <w:rPr>
                      <w:rFonts w:hint="default" w:ascii="Times New Roman" w:hAnsi="Times New Roman" w:cs="Times New Roman"/>
                      <w:szCs w:val="21"/>
                    </w:rPr>
                  </w:pPr>
                </w:p>
              </w:tc>
              <w:tc>
                <w:tcPr>
                  <w:tcW w:w="516"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经度</w:t>
                  </w:r>
                </w:p>
              </w:tc>
              <w:tc>
                <w:tcPr>
                  <w:tcW w:w="523"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纬度</w:t>
                  </w:r>
                </w:p>
              </w:tc>
              <w:tc>
                <w:tcPr>
                  <w:tcW w:w="465" w:type="pct"/>
                  <w:vMerge w:val="continue"/>
                  <w:tcBorders>
                    <w:tl2br w:val="nil"/>
                    <w:tr2bl w:val="nil"/>
                  </w:tcBorders>
                  <w:vAlign w:val="center"/>
                </w:tcPr>
                <w:p>
                  <w:pPr>
                    <w:widowControl/>
                    <w:jc w:val="left"/>
                    <w:rPr>
                      <w:rFonts w:hint="default" w:ascii="Times New Roman" w:hAnsi="Times New Roman" w:cs="Times New Roman"/>
                      <w:szCs w:val="21"/>
                    </w:rPr>
                  </w:pPr>
                </w:p>
              </w:tc>
              <w:tc>
                <w:tcPr>
                  <w:tcW w:w="401" w:type="pct"/>
                  <w:vMerge w:val="continue"/>
                  <w:tcBorders>
                    <w:tl2br w:val="nil"/>
                    <w:tr2bl w:val="nil"/>
                  </w:tcBorders>
                  <w:vAlign w:val="center"/>
                </w:tcPr>
                <w:p>
                  <w:pPr>
                    <w:widowControl/>
                    <w:jc w:val="left"/>
                    <w:rPr>
                      <w:rFonts w:hint="default" w:ascii="Times New Roman" w:hAnsi="Times New Roman" w:cs="Times New Roman"/>
                      <w:szCs w:val="21"/>
                    </w:rPr>
                  </w:pPr>
                </w:p>
              </w:tc>
              <w:tc>
                <w:tcPr>
                  <w:tcW w:w="690" w:type="pct"/>
                  <w:vMerge w:val="continue"/>
                  <w:tcBorders>
                    <w:tl2br w:val="nil"/>
                    <w:tr2bl w:val="nil"/>
                  </w:tcBorders>
                  <w:vAlign w:val="center"/>
                </w:tcPr>
                <w:p>
                  <w:pPr>
                    <w:widowControl/>
                    <w:jc w:val="left"/>
                    <w:rPr>
                      <w:rFonts w:hint="default" w:ascii="Times New Roman" w:hAnsi="Times New Roman" w:cs="Times New Roman"/>
                      <w:szCs w:val="21"/>
                    </w:rPr>
                  </w:pPr>
                </w:p>
              </w:tc>
              <w:tc>
                <w:tcPr>
                  <w:tcW w:w="257" w:type="pct"/>
                  <w:vMerge w:val="continue"/>
                  <w:tcBorders>
                    <w:tl2br w:val="nil"/>
                    <w:tr2bl w:val="nil"/>
                  </w:tcBorders>
                  <w:vAlign w:val="center"/>
                </w:tcPr>
                <w:p>
                  <w:pPr>
                    <w:widowControl/>
                    <w:jc w:val="left"/>
                    <w:rPr>
                      <w:rFonts w:hint="default" w:ascii="Times New Roman" w:hAnsi="Times New Roman" w:cs="Times New Roman"/>
                      <w:szCs w:val="21"/>
                    </w:rPr>
                  </w:pPr>
                </w:p>
              </w:tc>
              <w:tc>
                <w:tcPr>
                  <w:tcW w:w="257"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488"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污染物种类</w:t>
                  </w:r>
                </w:p>
              </w:tc>
              <w:tc>
                <w:tcPr>
                  <w:tcW w:w="611"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57" w:type="pct"/>
                  <w:vMerge w:val="restart"/>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531" w:type="pct"/>
                  <w:vMerge w:val="restart"/>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DW001</w:t>
                  </w:r>
                </w:p>
              </w:tc>
              <w:tc>
                <w:tcPr>
                  <w:tcW w:w="516" w:type="pct"/>
                  <w:vMerge w:val="restart"/>
                  <w:tcBorders>
                    <w:tl2br w:val="nil"/>
                    <w:tr2bl w:val="nil"/>
                  </w:tcBorders>
                  <w:vAlign w:val="center"/>
                </w:tcPr>
                <w:p>
                  <w:pPr>
                    <w:jc w:val="center"/>
                    <w:rPr>
                      <w:rFonts w:hint="default" w:ascii="Times New Roman" w:hAnsi="Times New Roman" w:cs="Times New Roman"/>
                      <w:spacing w:val="-20"/>
                      <w:szCs w:val="21"/>
                      <w:highlight w:val="none"/>
                    </w:rPr>
                  </w:pPr>
                  <w:r>
                    <w:rPr>
                      <w:rFonts w:hint="default" w:ascii="Times New Roman" w:hAnsi="Times New Roman" w:cs="Times New Roman"/>
                      <w:spacing w:val="-20"/>
                      <w:szCs w:val="21"/>
                      <w:highlight w:val="none"/>
                    </w:rPr>
                    <w:t>127.05391064</w:t>
                  </w:r>
                </w:p>
              </w:tc>
              <w:tc>
                <w:tcPr>
                  <w:tcW w:w="523" w:type="pct"/>
                  <w:vMerge w:val="restart"/>
                  <w:tcBorders>
                    <w:tl2br w:val="nil"/>
                    <w:tr2bl w:val="nil"/>
                  </w:tcBorders>
                  <w:vAlign w:val="center"/>
                </w:tcPr>
                <w:p>
                  <w:pPr>
                    <w:jc w:val="center"/>
                    <w:rPr>
                      <w:rFonts w:hint="default" w:ascii="Times New Roman" w:hAnsi="Times New Roman" w:cs="Times New Roman"/>
                      <w:spacing w:val="-20"/>
                      <w:szCs w:val="21"/>
                      <w:highlight w:val="none"/>
                    </w:rPr>
                  </w:pPr>
                  <w:r>
                    <w:rPr>
                      <w:rFonts w:hint="default" w:ascii="Times New Roman" w:hAnsi="Times New Roman" w:cs="Times New Roman"/>
                      <w:spacing w:val="-20"/>
                      <w:szCs w:val="21"/>
                      <w:highlight w:val="none"/>
                    </w:rPr>
                    <w:t>45.23419100</w:t>
                  </w:r>
                </w:p>
              </w:tc>
              <w:tc>
                <w:tcPr>
                  <w:tcW w:w="465" w:type="pct"/>
                  <w:vMerge w:val="restart"/>
                  <w:tcBorders>
                    <w:tl2br w:val="nil"/>
                    <w:tr2bl w:val="nil"/>
                  </w:tcBorders>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16</w:t>
                  </w:r>
                  <w:r>
                    <w:rPr>
                      <w:rFonts w:hint="eastAsia" w:cs="Times New Roman"/>
                      <w:szCs w:val="21"/>
                      <w:highlight w:val="none"/>
                      <w:lang w:val="en-US" w:eastAsia="zh-CN"/>
                    </w:rPr>
                    <w:t>8</w:t>
                  </w:r>
                </w:p>
              </w:tc>
              <w:tc>
                <w:tcPr>
                  <w:tcW w:w="401" w:type="pct"/>
                  <w:vMerge w:val="restar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进入城市污水处理厂</w:t>
                  </w:r>
                </w:p>
              </w:tc>
              <w:tc>
                <w:tcPr>
                  <w:tcW w:w="690" w:type="pct"/>
                  <w:vMerge w:val="restart"/>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间断排放，排放期间流量不稳定且无规律，但不属于冲击性排放</w:t>
                  </w:r>
                </w:p>
              </w:tc>
              <w:tc>
                <w:tcPr>
                  <w:tcW w:w="257" w:type="pct"/>
                  <w:vMerge w:val="restart"/>
                  <w:tcBorders>
                    <w:tl2br w:val="nil"/>
                    <w:tr2bl w:val="nil"/>
                  </w:tcBorders>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257" w:type="pct"/>
                  <w:vMerge w:val="restart"/>
                  <w:tcBorders>
                    <w:tl2br w:val="nil"/>
                    <w:tr2bl w:val="nil"/>
                  </w:tcBorders>
                  <w:vAlign w:val="center"/>
                </w:tcPr>
                <w:p>
                  <w:pPr>
                    <w:jc w:val="center"/>
                    <w:rPr>
                      <w:rFonts w:hint="eastAsia" w:ascii="Times New Roman" w:hAnsi="Times New Roman" w:eastAsia="宋体" w:cs="Times New Roman"/>
                      <w:szCs w:val="21"/>
                      <w:highlight w:val="none"/>
                      <w:lang w:eastAsia="zh-CN"/>
                    </w:rPr>
                  </w:pPr>
                  <w:r>
                    <w:rPr>
                      <w:rFonts w:hint="eastAsia" w:cs="Times New Roman"/>
                      <w:bCs/>
                      <w:highlight w:val="none"/>
                      <w:lang w:eastAsia="zh-CN"/>
                    </w:rPr>
                    <w:t>五常市民泉污水处理有限公司</w:t>
                  </w:r>
                </w:p>
              </w:tc>
              <w:tc>
                <w:tcPr>
                  <w:tcW w:w="488" w:type="pct"/>
                  <w:tcBorders>
                    <w:tl2br w:val="nil"/>
                    <w:tr2bl w:val="nil"/>
                  </w:tcBorders>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COD</w:t>
                  </w:r>
                </w:p>
              </w:tc>
              <w:tc>
                <w:tcPr>
                  <w:tcW w:w="611" w:type="pct"/>
                  <w:tcBorders>
                    <w:tl2br w:val="nil"/>
                    <w:tr2bl w:val="nil"/>
                  </w:tcBorders>
                  <w:vAlign w:val="center"/>
                </w:tcPr>
                <w:p>
                  <w:pPr>
                    <w:pStyle w:val="27"/>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57" w:type="pct"/>
                  <w:vMerge w:val="continue"/>
                  <w:tcBorders>
                    <w:tl2br w:val="nil"/>
                    <w:tr2bl w:val="nil"/>
                  </w:tcBorders>
                  <w:vAlign w:val="center"/>
                </w:tcPr>
                <w:p>
                  <w:pPr>
                    <w:jc w:val="center"/>
                    <w:rPr>
                      <w:rFonts w:hint="default" w:ascii="Times New Roman" w:hAnsi="Times New Roman" w:cs="Times New Roman"/>
                      <w:szCs w:val="21"/>
                    </w:rPr>
                  </w:pPr>
                </w:p>
              </w:tc>
              <w:tc>
                <w:tcPr>
                  <w:tcW w:w="531" w:type="pct"/>
                  <w:vMerge w:val="continue"/>
                  <w:tcBorders>
                    <w:tl2br w:val="nil"/>
                    <w:tr2bl w:val="nil"/>
                  </w:tcBorders>
                  <w:vAlign w:val="center"/>
                </w:tcPr>
                <w:p>
                  <w:pPr>
                    <w:jc w:val="center"/>
                    <w:rPr>
                      <w:rFonts w:hint="default" w:ascii="Times New Roman" w:hAnsi="Times New Roman" w:cs="Times New Roman"/>
                      <w:szCs w:val="21"/>
                    </w:rPr>
                  </w:pPr>
                </w:p>
              </w:tc>
              <w:tc>
                <w:tcPr>
                  <w:tcW w:w="516" w:type="pct"/>
                  <w:vMerge w:val="continue"/>
                  <w:tcBorders>
                    <w:tl2br w:val="nil"/>
                    <w:tr2bl w:val="nil"/>
                  </w:tcBorders>
                  <w:vAlign w:val="center"/>
                </w:tcPr>
                <w:p>
                  <w:pPr>
                    <w:jc w:val="center"/>
                    <w:rPr>
                      <w:rFonts w:hint="default" w:ascii="Times New Roman" w:hAnsi="Times New Roman" w:cs="Times New Roman"/>
                      <w:szCs w:val="21"/>
                    </w:rPr>
                  </w:pPr>
                </w:p>
              </w:tc>
              <w:tc>
                <w:tcPr>
                  <w:tcW w:w="523" w:type="pct"/>
                  <w:vMerge w:val="continue"/>
                  <w:tcBorders>
                    <w:tl2br w:val="nil"/>
                    <w:tr2bl w:val="nil"/>
                  </w:tcBorders>
                  <w:vAlign w:val="center"/>
                </w:tcPr>
                <w:p>
                  <w:pPr>
                    <w:jc w:val="center"/>
                    <w:rPr>
                      <w:rFonts w:hint="default" w:ascii="Times New Roman" w:hAnsi="Times New Roman" w:cs="Times New Roman"/>
                      <w:szCs w:val="21"/>
                    </w:rPr>
                  </w:pPr>
                </w:p>
              </w:tc>
              <w:tc>
                <w:tcPr>
                  <w:tcW w:w="465" w:type="pct"/>
                  <w:vMerge w:val="continue"/>
                  <w:tcBorders>
                    <w:tl2br w:val="nil"/>
                    <w:tr2bl w:val="nil"/>
                  </w:tcBorders>
                  <w:vAlign w:val="center"/>
                </w:tcPr>
                <w:p>
                  <w:pPr>
                    <w:jc w:val="center"/>
                    <w:rPr>
                      <w:rFonts w:hint="default" w:ascii="Times New Roman" w:hAnsi="Times New Roman" w:cs="Times New Roman"/>
                      <w:szCs w:val="21"/>
                    </w:rPr>
                  </w:pPr>
                </w:p>
              </w:tc>
              <w:tc>
                <w:tcPr>
                  <w:tcW w:w="401" w:type="pct"/>
                  <w:vMerge w:val="continue"/>
                  <w:tcBorders>
                    <w:tl2br w:val="nil"/>
                    <w:tr2bl w:val="nil"/>
                  </w:tcBorders>
                  <w:vAlign w:val="center"/>
                </w:tcPr>
                <w:p>
                  <w:pPr>
                    <w:jc w:val="center"/>
                    <w:rPr>
                      <w:rFonts w:hint="default" w:ascii="Times New Roman" w:hAnsi="Times New Roman" w:cs="Times New Roman"/>
                      <w:szCs w:val="21"/>
                    </w:rPr>
                  </w:pPr>
                </w:p>
              </w:tc>
              <w:tc>
                <w:tcPr>
                  <w:tcW w:w="690" w:type="pct"/>
                  <w:vMerge w:val="continue"/>
                  <w:tcBorders>
                    <w:tl2br w:val="nil"/>
                    <w:tr2bl w:val="nil"/>
                  </w:tcBorders>
                  <w:vAlign w:val="center"/>
                </w:tcPr>
                <w:p>
                  <w:pPr>
                    <w:jc w:val="center"/>
                    <w:rPr>
                      <w:rFonts w:hint="default" w:ascii="Times New Roman" w:hAnsi="Times New Roman" w:cs="Times New Roman"/>
                      <w:szCs w:val="21"/>
                    </w:rPr>
                  </w:pPr>
                </w:p>
              </w:tc>
              <w:tc>
                <w:tcPr>
                  <w:tcW w:w="257" w:type="pct"/>
                  <w:vMerge w:val="continue"/>
                  <w:tcBorders>
                    <w:tl2br w:val="nil"/>
                    <w:tr2bl w:val="nil"/>
                  </w:tcBorders>
                  <w:vAlign w:val="center"/>
                </w:tcPr>
                <w:p>
                  <w:pPr>
                    <w:rPr>
                      <w:rFonts w:hint="default" w:ascii="Times New Roman" w:hAnsi="Times New Roman" w:cs="Times New Roman"/>
                      <w:szCs w:val="21"/>
                    </w:rPr>
                  </w:pPr>
                </w:p>
              </w:tc>
              <w:tc>
                <w:tcPr>
                  <w:tcW w:w="257" w:type="pct"/>
                  <w:vMerge w:val="continue"/>
                  <w:tcBorders>
                    <w:tl2br w:val="nil"/>
                    <w:tr2bl w:val="nil"/>
                  </w:tcBorders>
                  <w:vAlign w:val="center"/>
                </w:tcPr>
                <w:p>
                  <w:pPr>
                    <w:jc w:val="center"/>
                    <w:rPr>
                      <w:rFonts w:hint="default" w:ascii="Times New Roman" w:hAnsi="Times New Roman" w:cs="Times New Roman"/>
                      <w:bCs/>
                    </w:rPr>
                  </w:pPr>
                </w:p>
              </w:tc>
              <w:tc>
                <w:tcPr>
                  <w:tcW w:w="488"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BOD</w:t>
                  </w:r>
                  <w:r>
                    <w:rPr>
                      <w:rFonts w:hint="default" w:ascii="Times New Roman" w:hAnsi="Times New Roman" w:cs="Times New Roman"/>
                      <w:szCs w:val="21"/>
                      <w:vertAlign w:val="subscript"/>
                    </w:rPr>
                    <w:t>5</w:t>
                  </w:r>
                </w:p>
              </w:tc>
              <w:tc>
                <w:tcPr>
                  <w:tcW w:w="611" w:type="pct"/>
                  <w:tcBorders>
                    <w:tl2br w:val="nil"/>
                    <w:tr2bl w:val="nil"/>
                  </w:tcBorders>
                  <w:vAlign w:val="center"/>
                </w:tcPr>
                <w:p>
                  <w:pPr>
                    <w:pStyle w:val="27"/>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57" w:type="pct"/>
                  <w:vMerge w:val="continue"/>
                  <w:tcBorders>
                    <w:tl2br w:val="nil"/>
                    <w:tr2bl w:val="nil"/>
                  </w:tcBorders>
                  <w:vAlign w:val="center"/>
                </w:tcPr>
                <w:p>
                  <w:pPr>
                    <w:jc w:val="center"/>
                    <w:rPr>
                      <w:rFonts w:hint="default" w:ascii="Times New Roman" w:hAnsi="Times New Roman" w:cs="Times New Roman"/>
                      <w:szCs w:val="21"/>
                    </w:rPr>
                  </w:pPr>
                </w:p>
              </w:tc>
              <w:tc>
                <w:tcPr>
                  <w:tcW w:w="531" w:type="pct"/>
                  <w:vMerge w:val="continue"/>
                  <w:tcBorders>
                    <w:tl2br w:val="nil"/>
                    <w:tr2bl w:val="nil"/>
                  </w:tcBorders>
                  <w:vAlign w:val="center"/>
                </w:tcPr>
                <w:p>
                  <w:pPr>
                    <w:jc w:val="center"/>
                    <w:rPr>
                      <w:rFonts w:hint="default" w:ascii="Times New Roman" w:hAnsi="Times New Roman" w:cs="Times New Roman"/>
                      <w:szCs w:val="21"/>
                    </w:rPr>
                  </w:pPr>
                </w:p>
              </w:tc>
              <w:tc>
                <w:tcPr>
                  <w:tcW w:w="516" w:type="pct"/>
                  <w:vMerge w:val="continue"/>
                  <w:tcBorders>
                    <w:tl2br w:val="nil"/>
                    <w:tr2bl w:val="nil"/>
                  </w:tcBorders>
                  <w:vAlign w:val="center"/>
                </w:tcPr>
                <w:p>
                  <w:pPr>
                    <w:jc w:val="center"/>
                    <w:rPr>
                      <w:rFonts w:hint="default" w:ascii="Times New Roman" w:hAnsi="Times New Roman" w:cs="Times New Roman"/>
                      <w:szCs w:val="21"/>
                    </w:rPr>
                  </w:pPr>
                </w:p>
              </w:tc>
              <w:tc>
                <w:tcPr>
                  <w:tcW w:w="523" w:type="pct"/>
                  <w:vMerge w:val="continue"/>
                  <w:tcBorders>
                    <w:tl2br w:val="nil"/>
                    <w:tr2bl w:val="nil"/>
                  </w:tcBorders>
                  <w:vAlign w:val="center"/>
                </w:tcPr>
                <w:p>
                  <w:pPr>
                    <w:jc w:val="center"/>
                    <w:rPr>
                      <w:rFonts w:hint="default" w:ascii="Times New Roman" w:hAnsi="Times New Roman" w:cs="Times New Roman"/>
                      <w:szCs w:val="21"/>
                    </w:rPr>
                  </w:pPr>
                </w:p>
              </w:tc>
              <w:tc>
                <w:tcPr>
                  <w:tcW w:w="465" w:type="pct"/>
                  <w:vMerge w:val="continue"/>
                  <w:tcBorders>
                    <w:tl2br w:val="nil"/>
                    <w:tr2bl w:val="nil"/>
                  </w:tcBorders>
                  <w:vAlign w:val="center"/>
                </w:tcPr>
                <w:p>
                  <w:pPr>
                    <w:jc w:val="center"/>
                    <w:rPr>
                      <w:rFonts w:hint="default" w:ascii="Times New Roman" w:hAnsi="Times New Roman" w:cs="Times New Roman"/>
                      <w:szCs w:val="21"/>
                    </w:rPr>
                  </w:pPr>
                </w:p>
              </w:tc>
              <w:tc>
                <w:tcPr>
                  <w:tcW w:w="401" w:type="pct"/>
                  <w:vMerge w:val="continue"/>
                  <w:tcBorders>
                    <w:tl2br w:val="nil"/>
                    <w:tr2bl w:val="nil"/>
                  </w:tcBorders>
                  <w:vAlign w:val="center"/>
                </w:tcPr>
                <w:p>
                  <w:pPr>
                    <w:jc w:val="center"/>
                    <w:rPr>
                      <w:rFonts w:hint="default" w:ascii="Times New Roman" w:hAnsi="Times New Roman" w:cs="Times New Roman"/>
                      <w:szCs w:val="21"/>
                    </w:rPr>
                  </w:pPr>
                </w:p>
              </w:tc>
              <w:tc>
                <w:tcPr>
                  <w:tcW w:w="690" w:type="pct"/>
                  <w:vMerge w:val="continue"/>
                  <w:tcBorders>
                    <w:tl2br w:val="nil"/>
                    <w:tr2bl w:val="nil"/>
                  </w:tcBorders>
                  <w:vAlign w:val="center"/>
                </w:tcPr>
                <w:p>
                  <w:pPr>
                    <w:jc w:val="center"/>
                    <w:rPr>
                      <w:rFonts w:hint="default" w:ascii="Times New Roman" w:hAnsi="Times New Roman" w:cs="Times New Roman"/>
                      <w:szCs w:val="21"/>
                    </w:rPr>
                  </w:pPr>
                </w:p>
              </w:tc>
              <w:tc>
                <w:tcPr>
                  <w:tcW w:w="257" w:type="pct"/>
                  <w:vMerge w:val="continue"/>
                  <w:tcBorders>
                    <w:tl2br w:val="nil"/>
                    <w:tr2bl w:val="nil"/>
                  </w:tcBorders>
                  <w:vAlign w:val="center"/>
                </w:tcPr>
                <w:p>
                  <w:pPr>
                    <w:rPr>
                      <w:rFonts w:hint="default" w:ascii="Times New Roman" w:hAnsi="Times New Roman" w:cs="Times New Roman"/>
                      <w:szCs w:val="21"/>
                    </w:rPr>
                  </w:pPr>
                </w:p>
              </w:tc>
              <w:tc>
                <w:tcPr>
                  <w:tcW w:w="257" w:type="pct"/>
                  <w:vMerge w:val="continue"/>
                  <w:tcBorders>
                    <w:tl2br w:val="nil"/>
                    <w:tr2bl w:val="nil"/>
                  </w:tcBorders>
                  <w:vAlign w:val="center"/>
                </w:tcPr>
                <w:p>
                  <w:pPr>
                    <w:jc w:val="center"/>
                    <w:rPr>
                      <w:rFonts w:hint="default" w:ascii="Times New Roman" w:hAnsi="Times New Roman" w:cs="Times New Roman"/>
                      <w:bCs/>
                    </w:rPr>
                  </w:pPr>
                </w:p>
              </w:tc>
              <w:tc>
                <w:tcPr>
                  <w:tcW w:w="488"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SS</w:t>
                  </w:r>
                </w:p>
              </w:tc>
              <w:tc>
                <w:tcPr>
                  <w:tcW w:w="611" w:type="pct"/>
                  <w:tcBorders>
                    <w:tl2br w:val="nil"/>
                    <w:tr2bl w:val="nil"/>
                  </w:tcBorders>
                  <w:vAlign w:val="center"/>
                </w:tcPr>
                <w:p>
                  <w:pPr>
                    <w:pStyle w:val="27"/>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257" w:type="pct"/>
                  <w:vMerge w:val="continue"/>
                  <w:tcBorders>
                    <w:tl2br w:val="nil"/>
                    <w:tr2bl w:val="nil"/>
                  </w:tcBorders>
                  <w:vAlign w:val="center"/>
                </w:tcPr>
                <w:p>
                  <w:pPr>
                    <w:jc w:val="center"/>
                    <w:rPr>
                      <w:rFonts w:hint="default" w:ascii="Times New Roman" w:hAnsi="Times New Roman" w:cs="Times New Roman"/>
                      <w:szCs w:val="21"/>
                    </w:rPr>
                  </w:pPr>
                </w:p>
              </w:tc>
              <w:tc>
                <w:tcPr>
                  <w:tcW w:w="531" w:type="pct"/>
                  <w:vMerge w:val="continue"/>
                  <w:tcBorders>
                    <w:tl2br w:val="nil"/>
                    <w:tr2bl w:val="nil"/>
                  </w:tcBorders>
                  <w:vAlign w:val="center"/>
                </w:tcPr>
                <w:p>
                  <w:pPr>
                    <w:jc w:val="center"/>
                    <w:rPr>
                      <w:rFonts w:hint="default" w:ascii="Times New Roman" w:hAnsi="Times New Roman" w:cs="Times New Roman"/>
                      <w:szCs w:val="21"/>
                    </w:rPr>
                  </w:pPr>
                </w:p>
              </w:tc>
              <w:tc>
                <w:tcPr>
                  <w:tcW w:w="516" w:type="pct"/>
                  <w:vMerge w:val="continue"/>
                  <w:tcBorders>
                    <w:tl2br w:val="nil"/>
                    <w:tr2bl w:val="nil"/>
                  </w:tcBorders>
                  <w:vAlign w:val="center"/>
                </w:tcPr>
                <w:p>
                  <w:pPr>
                    <w:jc w:val="center"/>
                    <w:rPr>
                      <w:rFonts w:hint="default" w:ascii="Times New Roman" w:hAnsi="Times New Roman" w:cs="Times New Roman"/>
                      <w:szCs w:val="21"/>
                    </w:rPr>
                  </w:pPr>
                </w:p>
              </w:tc>
              <w:tc>
                <w:tcPr>
                  <w:tcW w:w="523" w:type="pct"/>
                  <w:vMerge w:val="continue"/>
                  <w:tcBorders>
                    <w:tl2br w:val="nil"/>
                    <w:tr2bl w:val="nil"/>
                  </w:tcBorders>
                  <w:vAlign w:val="center"/>
                </w:tcPr>
                <w:p>
                  <w:pPr>
                    <w:jc w:val="center"/>
                    <w:rPr>
                      <w:rFonts w:hint="default" w:ascii="Times New Roman" w:hAnsi="Times New Roman" w:cs="Times New Roman"/>
                      <w:szCs w:val="21"/>
                    </w:rPr>
                  </w:pPr>
                </w:p>
              </w:tc>
              <w:tc>
                <w:tcPr>
                  <w:tcW w:w="465" w:type="pct"/>
                  <w:vMerge w:val="continue"/>
                  <w:tcBorders>
                    <w:tl2br w:val="nil"/>
                    <w:tr2bl w:val="nil"/>
                  </w:tcBorders>
                  <w:vAlign w:val="center"/>
                </w:tcPr>
                <w:p>
                  <w:pPr>
                    <w:jc w:val="center"/>
                    <w:rPr>
                      <w:rFonts w:hint="default" w:ascii="Times New Roman" w:hAnsi="Times New Roman" w:cs="Times New Roman"/>
                      <w:szCs w:val="21"/>
                    </w:rPr>
                  </w:pPr>
                </w:p>
              </w:tc>
              <w:tc>
                <w:tcPr>
                  <w:tcW w:w="401" w:type="pct"/>
                  <w:vMerge w:val="continue"/>
                  <w:tcBorders>
                    <w:tl2br w:val="nil"/>
                    <w:tr2bl w:val="nil"/>
                  </w:tcBorders>
                  <w:vAlign w:val="center"/>
                </w:tcPr>
                <w:p>
                  <w:pPr>
                    <w:jc w:val="center"/>
                    <w:rPr>
                      <w:rFonts w:hint="default" w:ascii="Times New Roman" w:hAnsi="Times New Roman" w:cs="Times New Roman"/>
                      <w:szCs w:val="21"/>
                    </w:rPr>
                  </w:pPr>
                </w:p>
              </w:tc>
              <w:tc>
                <w:tcPr>
                  <w:tcW w:w="690" w:type="pct"/>
                  <w:vMerge w:val="continue"/>
                  <w:tcBorders>
                    <w:tl2br w:val="nil"/>
                    <w:tr2bl w:val="nil"/>
                  </w:tcBorders>
                  <w:vAlign w:val="center"/>
                </w:tcPr>
                <w:p>
                  <w:pPr>
                    <w:jc w:val="center"/>
                    <w:rPr>
                      <w:rFonts w:hint="default" w:ascii="Times New Roman" w:hAnsi="Times New Roman" w:cs="Times New Roman"/>
                      <w:szCs w:val="21"/>
                    </w:rPr>
                  </w:pPr>
                </w:p>
              </w:tc>
              <w:tc>
                <w:tcPr>
                  <w:tcW w:w="257" w:type="pct"/>
                  <w:vMerge w:val="continue"/>
                  <w:tcBorders>
                    <w:tl2br w:val="nil"/>
                    <w:tr2bl w:val="nil"/>
                  </w:tcBorders>
                  <w:vAlign w:val="center"/>
                </w:tcPr>
                <w:p>
                  <w:pPr>
                    <w:jc w:val="center"/>
                    <w:rPr>
                      <w:rFonts w:hint="default" w:ascii="Times New Roman" w:hAnsi="Times New Roman" w:cs="Times New Roman"/>
                      <w:szCs w:val="21"/>
                    </w:rPr>
                  </w:pPr>
                </w:p>
              </w:tc>
              <w:tc>
                <w:tcPr>
                  <w:tcW w:w="257" w:type="pct"/>
                  <w:vMerge w:val="continue"/>
                  <w:tcBorders>
                    <w:tl2br w:val="nil"/>
                    <w:tr2bl w:val="nil"/>
                  </w:tcBorders>
                  <w:vAlign w:val="center"/>
                </w:tcPr>
                <w:p>
                  <w:pPr>
                    <w:jc w:val="center"/>
                    <w:rPr>
                      <w:rFonts w:hint="default" w:ascii="Times New Roman" w:hAnsi="Times New Roman" w:cs="Times New Roman"/>
                      <w:szCs w:val="21"/>
                    </w:rPr>
                  </w:pPr>
                </w:p>
              </w:tc>
              <w:tc>
                <w:tcPr>
                  <w:tcW w:w="488" w:type="pct"/>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611" w:type="pct"/>
                  <w:tcBorders>
                    <w:tl2br w:val="nil"/>
                    <w:tr2bl w:val="nil"/>
                  </w:tcBorders>
                  <w:vAlign w:val="center"/>
                </w:tcPr>
                <w:p>
                  <w:pPr>
                    <w:pStyle w:val="27"/>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w:t>
                  </w:r>
                </w:p>
              </w:tc>
            </w:tr>
          </w:tbl>
          <w:p>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 xml:space="preserve">2.2 </w:t>
            </w:r>
            <w:r>
              <w:rPr>
                <w:rFonts w:hint="default" w:ascii="Times New Roman" w:hAnsi="Times New Roman" w:cs="Times New Roman"/>
                <w:b w:val="0"/>
                <w:bCs w:val="0"/>
                <w:color w:val="auto"/>
                <w:kern w:val="0"/>
                <w:sz w:val="24"/>
                <w:szCs w:val="24"/>
              </w:rPr>
              <w:t>本项目排水进入</w:t>
            </w:r>
            <w:r>
              <w:rPr>
                <w:rFonts w:hint="default" w:ascii="Times New Roman" w:hAnsi="Times New Roman" w:cs="Times New Roman"/>
                <w:b w:val="0"/>
                <w:bCs w:val="0"/>
                <w:color w:val="auto"/>
                <w:sz w:val="24"/>
                <w:szCs w:val="24"/>
                <w:lang w:eastAsia="zh-CN"/>
              </w:rPr>
              <w:t>五常市民泉污水处理有限公司</w:t>
            </w:r>
            <w:r>
              <w:rPr>
                <w:rFonts w:hint="default" w:ascii="Times New Roman" w:hAnsi="Times New Roman" w:cs="Times New Roman"/>
                <w:b w:val="0"/>
                <w:bCs w:val="0"/>
                <w:color w:val="auto"/>
                <w:sz w:val="24"/>
                <w:szCs w:val="24"/>
              </w:rPr>
              <w:t>可行性分析</w:t>
            </w:r>
          </w:p>
          <w:p>
            <w:pPr>
              <w:pStyle w:val="37"/>
              <w:spacing w:line="360" w:lineRule="auto"/>
              <w:ind w:firstLine="480" w:firstLineChars="200"/>
              <w:jc w:val="both"/>
              <w:rPr>
                <w:rFonts w:hint="default" w:ascii="Times New Roman" w:hAnsi="Times New Roman" w:eastAsia="宋体" w:cs="Times New Roman"/>
                <w:b w:val="0"/>
                <w:bCs w:val="0"/>
                <w:color w:val="0000FF"/>
                <w:sz w:val="24"/>
                <w:szCs w:val="24"/>
              </w:rPr>
            </w:pPr>
            <w:r>
              <w:rPr>
                <w:rFonts w:hint="default" w:ascii="Times New Roman" w:hAnsi="Times New Roman" w:cs="Times New Roman"/>
                <w:b w:val="0"/>
                <w:bCs w:val="0"/>
                <w:color w:val="auto"/>
                <w:sz w:val="24"/>
                <w:szCs w:val="24"/>
                <w:lang w:eastAsia="zh-CN"/>
              </w:rPr>
              <w:t>五常市民泉污水处理</w:t>
            </w:r>
            <w:r>
              <w:rPr>
                <w:rFonts w:hint="default" w:ascii="Times New Roman" w:hAnsi="Times New Roman" w:eastAsia="宋体" w:cs="Times New Roman"/>
                <w:b w:val="0"/>
                <w:bCs w:val="0"/>
                <w:color w:val="auto"/>
                <w:sz w:val="24"/>
                <w:szCs w:val="24"/>
                <w:lang w:eastAsia="zh-CN"/>
              </w:rPr>
              <w:t>有限公司</w:t>
            </w:r>
            <w:r>
              <w:rPr>
                <w:rFonts w:hint="eastAsia" w:ascii="Times New Roman" w:hAnsi="Times New Roman" w:eastAsia="宋体" w:cs="Times New Roman"/>
                <w:b w:val="0"/>
                <w:bCs w:val="0"/>
                <w:color w:val="auto"/>
                <w:sz w:val="24"/>
                <w:szCs w:val="24"/>
                <w:lang w:eastAsia="zh-CN"/>
              </w:rPr>
              <w:t>（五常市泽能环保技术有限公司）</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月</w:t>
            </w:r>
            <w:r>
              <w:rPr>
                <w:rFonts w:hint="default" w:ascii="Times New Roman" w:hAnsi="Times New Roman" w:cs="Times New Roman"/>
                <w:color w:val="auto"/>
                <w:sz w:val="24"/>
                <w:szCs w:val="24"/>
                <w:highlight w:val="none"/>
                <w:lang w:eastAsia="zh-CN"/>
              </w:rPr>
              <w:t>取得排污许可证，排污许可编号为</w:t>
            </w:r>
            <w:r>
              <w:rPr>
                <w:rFonts w:hint="eastAsia" w:ascii="Times New Roman" w:hAnsi="Times New Roman" w:cs="Times New Roman"/>
                <w:color w:val="auto"/>
                <w:sz w:val="24"/>
                <w:szCs w:val="24"/>
                <w:highlight w:val="none"/>
                <w:lang w:eastAsia="zh-CN"/>
              </w:rPr>
              <w:t>91230184MA1F51YJ4F001U</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 w:val="0"/>
                <w:bCs w:val="0"/>
                <w:color w:val="auto"/>
                <w:sz w:val="24"/>
                <w:szCs w:val="24"/>
                <w:lang w:eastAsia="zh-CN"/>
              </w:rPr>
              <w:t>五常市民泉污水处理有限公司</w:t>
            </w:r>
            <w:r>
              <w:rPr>
                <w:rFonts w:hint="default" w:ascii="Times New Roman" w:hAnsi="Times New Roman" w:eastAsia="宋体" w:cs="Times New Roman"/>
                <w:b w:val="0"/>
                <w:bCs w:val="0"/>
                <w:color w:val="auto"/>
                <w:sz w:val="24"/>
                <w:szCs w:val="24"/>
              </w:rPr>
              <w:t>位于</w:t>
            </w:r>
            <w:r>
              <w:rPr>
                <w:rFonts w:hint="default" w:ascii="Times New Roman" w:hAnsi="Times New Roman" w:cs="Times New Roman"/>
                <w:b w:val="0"/>
                <w:bCs w:val="0"/>
                <w:color w:val="auto"/>
                <w:sz w:val="24"/>
                <w:szCs w:val="24"/>
                <w:lang w:eastAsia="zh-CN"/>
              </w:rPr>
              <w:t>五常市山河镇平安村（北纬44.7518°，东经127.2172°）</w:t>
            </w:r>
            <w:r>
              <w:rPr>
                <w:rFonts w:hint="default" w:ascii="Times New Roman" w:hAnsi="Times New Roman" w:eastAsia="宋体" w:cs="Times New Roman"/>
                <w:b w:val="0"/>
                <w:bCs w:val="0"/>
                <w:color w:val="auto"/>
                <w:sz w:val="24"/>
                <w:szCs w:val="24"/>
              </w:rPr>
              <w:t>，设计处理能力为</w:t>
            </w:r>
            <w:r>
              <w:rPr>
                <w:rFonts w:hint="default" w:ascii="Times New Roman" w:hAnsi="Times New Roman"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default" w:ascii="Times New Roman" w:hAnsi="Times New Roman" w:cs="Times New Roman"/>
                <w:color w:val="auto"/>
                <w:sz w:val="24"/>
                <w:szCs w:val="24"/>
                <w:highlight w:val="none"/>
                <w:lang w:val="en-US" w:eastAsia="zh-CN"/>
              </w:rPr>
              <w:t>剩余处理能力为</w:t>
            </w:r>
            <w:r>
              <w:rPr>
                <w:rFonts w:hint="eastAsia" w:ascii="Times New Roman" w:hAnsi="Times New Roman" w:cs="Times New Roman"/>
                <w:color w:val="auto"/>
                <w:sz w:val="24"/>
                <w:szCs w:val="24"/>
                <w:highlight w:val="none"/>
                <w:lang w:val="en-US" w:eastAsia="zh-CN"/>
              </w:rPr>
              <w:t>0.</w:t>
            </w:r>
            <w:r>
              <w:rPr>
                <w:rFonts w:hint="eastAsia" w:asci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color w:val="auto"/>
                <w:sz w:val="24"/>
                <w:szCs w:val="24"/>
                <w:lang w:val="en-US" w:eastAsia="zh-CN"/>
              </w:rPr>
              <w:t>采用“格栅+EBIS生化池+沉淀过滤+消毒”工艺</w:t>
            </w:r>
            <w:r>
              <w:rPr>
                <w:rFonts w:hint="default" w:ascii="Times New Roman" w:hAnsi="Times New Roman" w:eastAsia="宋体" w:cs="Times New Roman"/>
                <w:b w:val="0"/>
                <w:bCs w:val="0"/>
                <w:color w:val="auto"/>
                <w:sz w:val="24"/>
                <w:szCs w:val="24"/>
              </w:rPr>
              <w:t>，经处理后污水满足《城镇污水处理厂污染物排放标准》（GB18918-2002）</w:t>
            </w:r>
            <w:r>
              <w:rPr>
                <w:rFonts w:hint="default" w:ascii="Times New Roman" w:hAnsi="Times New Roman" w:eastAsia="宋体" w:cs="Times New Roman"/>
                <w:b w:val="0"/>
                <w:bCs w:val="0"/>
                <w:color w:val="auto"/>
                <w:sz w:val="24"/>
                <w:szCs w:val="24"/>
                <w:lang w:eastAsia="zh-CN"/>
              </w:rPr>
              <w:t>一级A</w:t>
            </w:r>
            <w:r>
              <w:rPr>
                <w:rFonts w:hint="default" w:ascii="Times New Roman" w:hAnsi="Times New Roman" w:eastAsia="宋体" w:cs="Times New Roman"/>
                <w:b w:val="0"/>
                <w:bCs w:val="0"/>
                <w:color w:val="auto"/>
                <w:sz w:val="24"/>
                <w:szCs w:val="24"/>
              </w:rPr>
              <w:t>标准后排入</w:t>
            </w:r>
            <w:r>
              <w:rPr>
                <w:rFonts w:hint="default" w:ascii="Times New Roman" w:hAnsi="Times New Roman" w:cs="Times New Roman"/>
                <w:b w:val="0"/>
                <w:bCs w:val="0"/>
                <w:color w:val="auto"/>
                <w:sz w:val="24"/>
                <w:szCs w:val="24"/>
                <w:lang w:eastAsia="zh-CN"/>
              </w:rPr>
              <w:t>拉林</w:t>
            </w:r>
            <w:r>
              <w:rPr>
                <w:rFonts w:hint="default" w:ascii="Times New Roman" w:hAnsi="Times New Roman" w:eastAsia="宋体" w:cs="Times New Roman"/>
                <w:b w:val="0"/>
                <w:bCs w:val="0"/>
                <w:color w:val="auto"/>
                <w:sz w:val="24"/>
                <w:szCs w:val="24"/>
              </w:rPr>
              <w:t>河。</w:t>
            </w:r>
            <w:r>
              <w:rPr>
                <w:rFonts w:hint="default" w:ascii="Times New Roman" w:hAnsi="Times New Roman" w:eastAsia="宋体" w:cs="Times New Roman"/>
                <w:color w:val="auto"/>
                <w:sz w:val="24"/>
                <w:szCs w:val="24"/>
                <w:lang w:val="en-US" w:eastAsia="zh-CN"/>
              </w:rPr>
              <w:t>设计进水指标COD浓度为350mg/L，BOD</w:t>
            </w:r>
            <w:r>
              <w:rPr>
                <w:rFonts w:hint="default" w:ascii="Times New Roman" w:hAnsi="Times New Roman" w:eastAsia="宋体" w:cs="Times New Roman"/>
                <w:color w:val="auto"/>
                <w:sz w:val="24"/>
                <w:szCs w:val="24"/>
                <w:vertAlign w:val="subscript"/>
                <w:lang w:val="en-US" w:eastAsia="zh-CN"/>
              </w:rPr>
              <w:t>5</w:t>
            </w:r>
            <w:r>
              <w:rPr>
                <w:rFonts w:hint="default" w:ascii="Times New Roman" w:hAnsi="Times New Roman" w:eastAsia="宋体" w:cs="Times New Roman"/>
                <w:color w:val="auto"/>
                <w:sz w:val="24"/>
                <w:szCs w:val="24"/>
                <w:lang w:val="en-US" w:eastAsia="zh-CN"/>
              </w:rPr>
              <w:t>浓度为200mgL，NH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浓度为25mg/L，总氮浓度为40mg/L，总磷浓度为4mg/L，SS浓度为300mg/L</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本项目污水日排放量为</w:t>
            </w:r>
            <w:r>
              <w:rPr>
                <w:rFonts w:hint="default" w:ascii="Times New Roman" w:hAnsi="Times New Roman" w:cs="Times New Roman"/>
                <w:b w:val="0"/>
                <w:bCs w:val="0"/>
                <w:color w:val="auto"/>
                <w:sz w:val="24"/>
                <w:szCs w:val="24"/>
                <w:lang w:val="en-US" w:eastAsia="zh-CN"/>
              </w:rPr>
              <w:t>28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，远小于污水处理厂日处理规模，</w:t>
            </w:r>
            <w:r>
              <w:rPr>
                <w:rFonts w:hint="default" w:ascii="Times New Roman" w:hAnsi="Times New Roman" w:eastAsia="宋体" w:cs="Times New Roman"/>
                <w:b w:val="0"/>
                <w:bCs w:val="0"/>
                <w:color w:val="auto"/>
                <w:sz w:val="24"/>
                <w:szCs w:val="24"/>
                <w:lang w:val="en-US" w:eastAsia="zh-CN"/>
              </w:rPr>
              <w:t>废水浓度及排放量满足污水处理厂要求，</w:t>
            </w:r>
            <w:r>
              <w:rPr>
                <w:rFonts w:hint="default" w:ascii="Times New Roman" w:hAnsi="Times New Roman" w:eastAsia="宋体" w:cs="Times New Roman"/>
                <w:b w:val="0"/>
                <w:bCs w:val="0"/>
                <w:color w:val="auto"/>
                <w:sz w:val="24"/>
                <w:szCs w:val="24"/>
              </w:rPr>
              <w:t>因此，项目废水排入</w:t>
            </w:r>
            <w:r>
              <w:rPr>
                <w:rFonts w:hint="default" w:ascii="Times New Roman" w:hAnsi="Times New Roman" w:cs="Times New Roman"/>
                <w:b w:val="0"/>
                <w:bCs w:val="0"/>
                <w:color w:val="auto"/>
                <w:sz w:val="24"/>
                <w:szCs w:val="24"/>
                <w:lang w:eastAsia="zh-CN"/>
              </w:rPr>
              <w:t>五常市民泉污水处理有限公司</w:t>
            </w:r>
            <w:r>
              <w:rPr>
                <w:rFonts w:hint="default" w:ascii="Times New Roman" w:hAnsi="Times New Roman" w:eastAsia="宋体" w:cs="Times New Roman"/>
                <w:b w:val="0"/>
                <w:bCs w:val="0"/>
                <w:color w:val="auto"/>
                <w:sz w:val="24"/>
                <w:szCs w:val="24"/>
              </w:rPr>
              <w:t>可行。</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eastAsia" w:ascii="Times New Roman" w:cs="Times New Roman"/>
                <w:b w:val="0"/>
                <w:bCs w:val="0"/>
                <w:color w:val="auto"/>
                <w:sz w:val="24"/>
                <w:szCs w:val="24"/>
                <w:lang w:val="en-US" w:eastAsia="zh-CN"/>
              </w:rPr>
              <w:t xml:space="preserve">2.3 </w:t>
            </w:r>
            <w:r>
              <w:rPr>
                <w:rFonts w:hint="default" w:ascii="Times New Roman" w:hAnsi="Times New Roman" w:eastAsia="宋体" w:cs="Times New Roman"/>
                <w:b w:val="0"/>
                <w:bCs w:val="0"/>
                <w:color w:val="auto"/>
                <w:sz w:val="24"/>
                <w:szCs w:val="24"/>
              </w:rPr>
              <w:t>监测计划</w:t>
            </w:r>
          </w:p>
          <w:p>
            <w:pPr>
              <w:adjustRightInd w:val="0"/>
              <w:snapToGrid w:val="0"/>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根据《排污单位自行监测技术指南 总则》（HJ819-2017），并结合本项目的实际排污状况制定废水监测计划。</w:t>
            </w:r>
          </w:p>
          <w:p>
            <w:pPr>
              <w:pStyle w:val="68"/>
              <w:spacing w:line="240" w:lineRule="auto"/>
              <w:rPr>
                <w:rFonts w:hint="default" w:ascii="Times New Roman" w:hAnsi="Times New Roman" w:cs="Times New Roman" w:eastAsiaTheme="minorEastAsia"/>
                <w:b/>
                <w:bCs/>
                <w:color w:val="auto"/>
                <w:sz w:val="21"/>
                <w:szCs w:val="24"/>
              </w:rPr>
            </w:pPr>
            <w:r>
              <w:rPr>
                <w:rFonts w:hint="default" w:ascii="Times New Roman" w:hAnsi="Times New Roman" w:cs="Times New Roman" w:eastAsiaTheme="minorEastAsia"/>
                <w:b/>
                <w:bCs/>
                <w:color w:val="auto"/>
                <w:sz w:val="21"/>
                <w:szCs w:val="24"/>
              </w:rPr>
              <w:t>表4-</w:t>
            </w:r>
            <w:r>
              <w:rPr>
                <w:rFonts w:hint="eastAsia" w:ascii="Times New Roman" w:hAnsi="Times New Roman" w:cs="Times New Roman" w:eastAsiaTheme="minorEastAsia"/>
                <w:b/>
                <w:bCs/>
                <w:color w:val="auto"/>
                <w:sz w:val="21"/>
                <w:szCs w:val="24"/>
                <w:lang w:val="en-US" w:eastAsia="zh-CN"/>
              </w:rPr>
              <w:t>8</w:t>
            </w:r>
            <w:r>
              <w:rPr>
                <w:rFonts w:hint="default" w:ascii="Times New Roman" w:hAnsi="Times New Roman" w:cs="Times New Roman" w:eastAsiaTheme="minorEastAsia"/>
                <w:b/>
                <w:bCs/>
                <w:color w:val="auto"/>
                <w:sz w:val="21"/>
                <w:szCs w:val="24"/>
              </w:rPr>
              <w:t xml:space="preserve">  水环境监测要求</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159"/>
              <w:gridCol w:w="1149"/>
              <w:gridCol w:w="1868"/>
              <w:gridCol w:w="1061"/>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序号</w:t>
                  </w:r>
                </w:p>
              </w:tc>
              <w:tc>
                <w:tcPr>
                  <w:tcW w:w="699"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污染源名称</w:t>
                  </w:r>
                </w:p>
              </w:tc>
              <w:tc>
                <w:tcPr>
                  <w:tcW w:w="693"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监测位置</w:t>
                  </w:r>
                </w:p>
              </w:tc>
              <w:tc>
                <w:tcPr>
                  <w:tcW w:w="1127"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监测项目</w:t>
                  </w:r>
                </w:p>
              </w:tc>
              <w:tc>
                <w:tcPr>
                  <w:tcW w:w="640"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监测频次</w:t>
                  </w:r>
                </w:p>
              </w:tc>
              <w:tc>
                <w:tcPr>
                  <w:tcW w:w="1458" w:type="pct"/>
                  <w:vAlign w:val="center"/>
                </w:tcPr>
                <w:p>
                  <w:pPr>
                    <w:pStyle w:val="81"/>
                    <w:rPr>
                      <w:rFonts w:hint="default" w:ascii="Times New Roman" w:hAnsi="Times New Roman" w:cs="Times New Roman"/>
                      <w:bCs/>
                      <w:szCs w:val="21"/>
                      <w:lang w:val="en-US"/>
                    </w:rPr>
                  </w:pPr>
                  <w:r>
                    <w:rPr>
                      <w:rFonts w:hint="default" w:ascii="Times New Roman" w:hAnsi="Times New Roman" w:cs="Times New Roman"/>
                      <w:bCs/>
                      <w:szCs w:val="21"/>
                      <w:lang w:val="en-U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3" w:type="pct"/>
                  <w:vAlign w:val="center"/>
                </w:tcPr>
                <w:p>
                  <w:pPr>
                    <w:pStyle w:val="81"/>
                    <w:rPr>
                      <w:rFonts w:hint="default" w:ascii="Times New Roman" w:hAnsi="Times New Roman" w:cs="Times New Roman"/>
                      <w:szCs w:val="21"/>
                      <w:lang w:val="en-US"/>
                    </w:rPr>
                  </w:pPr>
                  <w:r>
                    <w:rPr>
                      <w:rFonts w:hint="default" w:ascii="Times New Roman" w:hAnsi="Times New Roman" w:cs="Times New Roman"/>
                      <w:szCs w:val="21"/>
                      <w:lang w:val="en-US"/>
                    </w:rPr>
                    <w:t>1</w:t>
                  </w:r>
                </w:p>
              </w:tc>
              <w:tc>
                <w:tcPr>
                  <w:tcW w:w="699" w:type="pc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废水</w:t>
                  </w:r>
                </w:p>
              </w:tc>
              <w:tc>
                <w:tcPr>
                  <w:tcW w:w="693" w:type="pc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总排口</w:t>
                  </w:r>
                </w:p>
              </w:tc>
              <w:tc>
                <w:tcPr>
                  <w:tcW w:w="1127" w:type="pct"/>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COD、SS、氨氮、</w:t>
                  </w:r>
                  <w:r>
                    <w:rPr>
                      <w:rFonts w:hint="eastAsia" w:cs="Times New Roman"/>
                      <w:szCs w:val="21"/>
                      <w:highlight w:val="none"/>
                      <w:lang w:val="en-US" w:eastAsia="zh-CN"/>
                    </w:rPr>
                    <w:t>BOD</w:t>
                  </w:r>
                  <w:r>
                    <w:rPr>
                      <w:rFonts w:hint="eastAsia" w:cs="Times New Roman"/>
                      <w:szCs w:val="21"/>
                      <w:highlight w:val="none"/>
                      <w:vertAlign w:val="subscript"/>
                      <w:lang w:val="en-US" w:eastAsia="zh-CN"/>
                    </w:rPr>
                    <w:t>5</w:t>
                  </w:r>
                </w:p>
              </w:tc>
              <w:tc>
                <w:tcPr>
                  <w:tcW w:w="640" w:type="pct"/>
                  <w:vAlign w:val="center"/>
                </w:tcPr>
                <w:p>
                  <w:pPr>
                    <w:jc w:val="center"/>
                    <w:rPr>
                      <w:rFonts w:hint="eastAsia" w:ascii="Times New Roman" w:hAnsi="Times New Roman" w:eastAsia="宋体" w:cs="Times New Roman"/>
                      <w:szCs w:val="21"/>
                      <w:highlight w:val="none"/>
                      <w:lang w:eastAsia="zh-CN"/>
                    </w:rPr>
                  </w:pPr>
                  <w:r>
                    <w:rPr>
                      <w:rFonts w:hint="default" w:ascii="Times New Roman" w:hAnsi="Times New Roman" w:cs="Times New Roman"/>
                      <w:szCs w:val="21"/>
                      <w:highlight w:val="none"/>
                    </w:rPr>
                    <w:t>1次/</w:t>
                  </w:r>
                  <w:r>
                    <w:rPr>
                      <w:rFonts w:hint="eastAsia" w:cs="Times New Roman"/>
                      <w:szCs w:val="21"/>
                      <w:highlight w:val="none"/>
                      <w:lang w:eastAsia="zh-CN"/>
                    </w:rPr>
                    <w:t>季</w:t>
                  </w:r>
                </w:p>
              </w:tc>
              <w:tc>
                <w:tcPr>
                  <w:tcW w:w="1458" w:type="pct"/>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《污水综合排放标准》（GB8978－1996）三级标准要求</w:t>
                  </w:r>
                  <w:r>
                    <w:rPr>
                      <w:rFonts w:hint="default" w:ascii="Times New Roman" w:hAnsi="Times New Roman" w:cs="Times New Roman"/>
                      <w:highlight w:val="none"/>
                    </w:rPr>
                    <w:t>及</w:t>
                  </w:r>
                  <w:r>
                    <w:rPr>
                      <w:rFonts w:hint="eastAsia" w:cs="Times New Roman"/>
                      <w:highlight w:val="none"/>
                      <w:lang w:eastAsia="zh-CN"/>
                    </w:rPr>
                    <w:t>五常市民泉污水处理有限公司</w:t>
                  </w:r>
                  <w:r>
                    <w:rPr>
                      <w:rFonts w:hint="default" w:ascii="Times New Roman" w:hAnsi="Times New Roman" w:cs="Times New Roman"/>
                      <w:highlight w:val="none"/>
                    </w:rPr>
                    <w:t>进水水质标准</w:t>
                  </w:r>
                </w:p>
              </w:tc>
            </w:tr>
          </w:tbl>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eastAsia" w:ascii="Times New Roman" w:cs="Times New Roman"/>
                <w:b w:val="0"/>
                <w:bCs w:val="0"/>
                <w:color w:val="auto"/>
                <w:sz w:val="24"/>
                <w:szCs w:val="24"/>
                <w:lang w:val="en-US" w:eastAsia="zh-CN"/>
              </w:rPr>
              <w:t xml:space="preserve">2.4 </w:t>
            </w:r>
            <w:r>
              <w:rPr>
                <w:rFonts w:hint="default" w:ascii="Times New Roman" w:hAnsi="Times New Roman" w:eastAsia="宋体" w:cs="Times New Roman"/>
                <w:b w:val="0"/>
                <w:bCs w:val="0"/>
                <w:color w:val="auto"/>
                <w:sz w:val="24"/>
                <w:szCs w:val="24"/>
              </w:rPr>
              <w:t>污染物防治措施可行性及达标分析</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本项目生活污水排入防渗旱厕，定期清掏，外运堆肥。</w:t>
            </w:r>
            <w:r>
              <w:rPr>
                <w:rFonts w:hint="default" w:ascii="Times New Roman" w:hAnsi="Times New Roman" w:cs="Times New Roman"/>
                <w:b w:val="0"/>
                <w:bCs w:val="0"/>
                <w:color w:val="auto"/>
                <w:sz w:val="24"/>
                <w:szCs w:val="24"/>
                <w:lang w:eastAsia="zh-CN"/>
              </w:rPr>
              <w:t>锅炉排污水及软化处理废水用于锅炉房、灰渣间、厂区洒水降尘，不外排</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b w:val="0"/>
                <w:bCs w:val="0"/>
                <w:color w:val="auto"/>
                <w:sz w:val="24"/>
                <w:szCs w:val="24"/>
              </w:rPr>
              <w:t>车间地面冲洗废水、清洗</w:t>
            </w:r>
            <w:r>
              <w:rPr>
                <w:rFonts w:hint="default" w:ascii="Times New Roman" w:hAnsi="Times New Roman" w:cs="Times New Roman"/>
                <w:b w:val="0"/>
                <w:bCs w:val="0"/>
                <w:color w:val="auto"/>
                <w:sz w:val="24"/>
                <w:szCs w:val="24"/>
                <w:lang w:val="en-US" w:eastAsia="zh-CN"/>
              </w:rPr>
              <w:t>废水</w:t>
            </w:r>
            <w:r>
              <w:rPr>
                <w:rFonts w:hint="default" w:ascii="Times New Roman" w:hAnsi="Times New Roman" w:eastAsia="宋体" w:cs="Times New Roman"/>
                <w:b w:val="0"/>
                <w:bCs w:val="0"/>
                <w:color w:val="auto"/>
                <w:sz w:val="24"/>
                <w:szCs w:val="24"/>
              </w:rPr>
              <w:t>混合后，COD排放浓度为1</w:t>
            </w:r>
            <w:r>
              <w:rPr>
                <w:rFonts w:hint="default" w:ascii="Times New Roman" w:hAnsi="Times New Roman" w:eastAsia="宋体" w:cs="Times New Roman"/>
                <w:b w:val="0"/>
                <w:bCs w:val="0"/>
                <w:color w:val="auto"/>
                <w:sz w:val="24"/>
                <w:szCs w:val="24"/>
                <w:lang w:val="en-US" w:eastAsia="zh-CN"/>
              </w:rPr>
              <w:t>0</w:t>
            </w:r>
            <w:r>
              <w:rPr>
                <w:rFonts w:hint="eastAsia" w:asci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rPr>
              <w:t>mg/L，氨氮排放浓度为</w:t>
            </w:r>
            <w:r>
              <w:rPr>
                <w:rFonts w:hint="default" w:ascii="Times New Roman" w:hAnsi="Times New Roman" w:eastAsia="宋体" w:cs="Times New Roman"/>
                <w:b w:val="0"/>
                <w:bCs w:val="0"/>
                <w:color w:val="auto"/>
                <w:sz w:val="24"/>
                <w:szCs w:val="24"/>
                <w:lang w:val="en-US" w:eastAsia="zh-CN"/>
              </w:rPr>
              <w:t>7.</w:t>
            </w:r>
            <w:r>
              <w:rPr>
                <w:rFonts w:hint="eastAsia" w:ascii="Times New Roman" w:cs="Times New Roman"/>
                <w:b w:val="0"/>
                <w:bCs w:val="0"/>
                <w:color w:val="auto"/>
                <w:sz w:val="24"/>
                <w:szCs w:val="24"/>
                <w:lang w:val="en-US" w:eastAsia="zh-CN"/>
              </w:rPr>
              <w:t>74</w:t>
            </w:r>
            <w:r>
              <w:rPr>
                <w:rFonts w:hint="default" w:ascii="Times New Roman" w:hAnsi="Times New Roman" w:eastAsia="宋体" w:cs="Times New Roman"/>
                <w:b w:val="0"/>
                <w:bCs w:val="0"/>
                <w:color w:val="auto"/>
                <w:sz w:val="24"/>
                <w:szCs w:val="24"/>
              </w:rPr>
              <w:t>mg/L，SS排放浓度为</w:t>
            </w:r>
            <w:r>
              <w:rPr>
                <w:rFonts w:hint="default" w:ascii="Times New Roman" w:hAnsi="Times New Roman" w:cs="Times New Roman"/>
                <w:b w:val="0"/>
                <w:bCs w:val="0"/>
                <w:color w:val="auto"/>
                <w:sz w:val="24"/>
                <w:szCs w:val="24"/>
                <w:lang w:val="en-US" w:eastAsia="zh-CN"/>
              </w:rPr>
              <w:t>1</w:t>
            </w:r>
            <w:r>
              <w:rPr>
                <w:rFonts w:hint="eastAsia" w:ascii="Times New Roman" w:cs="Times New Roman"/>
                <w:b w:val="0"/>
                <w:bCs w:val="0"/>
                <w:color w:val="auto"/>
                <w:sz w:val="24"/>
                <w:szCs w:val="24"/>
                <w:lang w:val="en-US" w:eastAsia="zh-CN"/>
              </w:rPr>
              <w:t>15.5</w:t>
            </w:r>
            <w:r>
              <w:rPr>
                <w:rFonts w:hint="default" w:ascii="Times New Roman" w:hAnsi="Times New Roman" w:eastAsia="宋体" w:cs="Times New Roman"/>
                <w:b w:val="0"/>
                <w:bCs w:val="0"/>
                <w:color w:val="auto"/>
                <w:sz w:val="24"/>
                <w:szCs w:val="24"/>
              </w:rPr>
              <w:t>mg/L，BOD</w:t>
            </w:r>
            <w:r>
              <w:rPr>
                <w:rFonts w:hint="default" w:ascii="Times New Roman" w:hAnsi="Times New Roman" w:eastAsia="宋体" w:cs="Times New Roman"/>
                <w:b w:val="0"/>
                <w:bCs w:val="0"/>
                <w:color w:val="auto"/>
                <w:sz w:val="24"/>
                <w:szCs w:val="24"/>
                <w:vertAlign w:val="subscript"/>
              </w:rPr>
              <w:t>5</w:t>
            </w:r>
            <w:r>
              <w:rPr>
                <w:rFonts w:hint="default" w:ascii="Times New Roman" w:hAnsi="Times New Roman" w:eastAsia="宋体" w:cs="Times New Roman"/>
                <w:b w:val="0"/>
                <w:bCs w:val="0"/>
                <w:color w:val="auto"/>
                <w:sz w:val="24"/>
                <w:szCs w:val="24"/>
              </w:rPr>
              <w:t>排放浓</w:t>
            </w:r>
            <w:r>
              <w:rPr>
                <w:rFonts w:hint="default" w:ascii="Times New Roman" w:hAnsi="Times New Roman" w:eastAsia="宋体" w:cs="Times New Roman"/>
                <w:b w:val="0"/>
                <w:bCs w:val="0"/>
                <w:color w:val="auto"/>
                <w:sz w:val="24"/>
                <w:szCs w:val="24"/>
                <w:highlight w:val="none"/>
              </w:rPr>
              <w:t>度为</w:t>
            </w:r>
            <w:r>
              <w:rPr>
                <w:rFonts w:hint="default" w:ascii="Times New Roman" w:hAnsi="Times New Roman" w:eastAsia="宋体" w:cs="Times New Roman"/>
                <w:b w:val="0"/>
                <w:bCs w:val="0"/>
                <w:color w:val="auto"/>
                <w:sz w:val="24"/>
                <w:szCs w:val="24"/>
                <w:highlight w:val="none"/>
                <w:lang w:val="en-US" w:eastAsia="zh-CN"/>
              </w:rPr>
              <w:t>3</w:t>
            </w:r>
            <w:r>
              <w:rPr>
                <w:rFonts w:hint="eastAsia" w:ascii="Times New Roman" w:cs="Times New Roman"/>
                <w:b w:val="0"/>
                <w:bCs w:val="0"/>
                <w:color w:val="auto"/>
                <w:sz w:val="24"/>
                <w:szCs w:val="24"/>
                <w:highlight w:val="none"/>
                <w:lang w:val="en-US" w:eastAsia="zh-CN"/>
              </w:rPr>
              <w:t>8.7</w:t>
            </w:r>
            <w:r>
              <w:rPr>
                <w:rFonts w:hint="default" w:ascii="Times New Roman" w:hAnsi="Times New Roman" w:eastAsia="宋体" w:cs="Times New Roman"/>
                <w:b w:val="0"/>
                <w:bCs w:val="0"/>
                <w:color w:val="auto"/>
                <w:sz w:val="24"/>
                <w:szCs w:val="24"/>
                <w:highlight w:val="none"/>
              </w:rPr>
              <w:t>mg/L，能够满足《污水综合排放标准》（GB8978-1996）三级标准及</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进水水质标准，项目废水暂存厂区30m³密闭储罐，每天由专用罐车拉运至</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处理，经</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处理达标后排放，属于可行技术</w:t>
            </w:r>
            <w:r>
              <w:rPr>
                <w:rFonts w:hint="default" w:ascii="Times New Roman" w:hAnsi="Times New Roman" w:eastAsia="宋体" w:cs="Times New Roman"/>
                <w:b w:val="0"/>
                <w:bCs w:val="0"/>
                <w:color w:val="auto"/>
                <w:sz w:val="24"/>
                <w:szCs w:val="24"/>
              </w:rPr>
              <w:t>。</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eastAsia" w:ascii="Times New Roman" w:cs="Times New Roman"/>
                <w:b w:val="0"/>
                <w:bCs w:val="0"/>
                <w:color w:val="auto"/>
                <w:sz w:val="24"/>
                <w:szCs w:val="24"/>
                <w:lang w:val="en-US" w:eastAsia="zh-CN"/>
              </w:rPr>
              <w:t xml:space="preserve">2.5 </w:t>
            </w:r>
            <w:r>
              <w:rPr>
                <w:rFonts w:hint="default" w:ascii="Times New Roman" w:hAnsi="Times New Roman" w:eastAsia="宋体" w:cs="Times New Roman"/>
                <w:b w:val="0"/>
                <w:bCs w:val="0"/>
                <w:color w:val="auto"/>
                <w:sz w:val="24"/>
                <w:szCs w:val="24"/>
              </w:rPr>
              <w:t>污水运输方案及管控要求</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运输方案：本项目生产废水为间歇排放，暂存于密闭储罐内，每天委托有资质单位采用密闭罐车进行转移运输，按照制定的运输路线进行运输，保证运输的废水均达到接收单位进行安全处理。待项目建成后，签订合作协议。</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废水外运的管控要求：每次运输废水做好台账记录，记录废水运输频次，运输水量、运输时间，留存每次转移运输废水的照片；运输人员应当接受专业培训，预防人为因素造成废水外漏风险；运输单位应制定在发生意外事故时采取的应急措施和防范措施；运输时发生突发性事故必须立即采取措施消除或者减轻对环境的污染危害。</w:t>
            </w:r>
          </w:p>
          <w:p>
            <w:pPr>
              <w:pStyle w:val="37"/>
              <w:spacing w:line="360" w:lineRule="auto"/>
              <w:ind w:firstLine="480" w:firstLineChars="200"/>
              <w:jc w:val="both"/>
              <w:rPr>
                <w:rFonts w:hint="default" w:ascii="Times New Roman" w:hAnsi="Times New Roman" w:eastAsia="宋体" w:cs="Times New Roman"/>
                <w:b w:val="0"/>
                <w:bCs w:val="0"/>
                <w:color w:val="auto"/>
                <w:sz w:val="24"/>
                <w:szCs w:val="24"/>
              </w:rPr>
            </w:pPr>
            <w:r>
              <w:rPr>
                <w:rFonts w:hint="eastAsia" w:ascii="Times New Roman" w:cs="Times New Roman"/>
                <w:b w:val="0"/>
                <w:bCs w:val="0"/>
                <w:color w:val="auto"/>
                <w:sz w:val="24"/>
                <w:szCs w:val="24"/>
                <w:lang w:val="en-US" w:eastAsia="zh-CN"/>
              </w:rPr>
              <w:t xml:space="preserve">2.6 </w:t>
            </w:r>
            <w:r>
              <w:rPr>
                <w:rFonts w:hint="default" w:ascii="Times New Roman" w:hAnsi="Times New Roman" w:eastAsia="宋体" w:cs="Times New Roman"/>
                <w:b w:val="0"/>
                <w:bCs w:val="0"/>
                <w:color w:val="auto"/>
                <w:sz w:val="24"/>
                <w:szCs w:val="24"/>
              </w:rPr>
              <w:t>环境影响评价结论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本项目生活污水排入防渗旱厕，定期清掏，外运堆肥。</w:t>
            </w:r>
            <w:r>
              <w:rPr>
                <w:rFonts w:hint="default" w:ascii="Times New Roman" w:hAnsi="Times New Roman" w:cs="Times New Roman"/>
                <w:b w:val="0"/>
                <w:bCs w:val="0"/>
                <w:color w:val="auto"/>
                <w:sz w:val="24"/>
                <w:szCs w:val="24"/>
                <w:lang w:eastAsia="zh-CN"/>
              </w:rPr>
              <w:t>锅炉排污水及软化处理废水用于锅炉房、灰渣间、</w:t>
            </w:r>
            <w:r>
              <w:rPr>
                <w:rFonts w:hint="default" w:ascii="Times New Roman" w:hAnsi="Times New Roman" w:cs="Times New Roman"/>
                <w:b w:val="0"/>
                <w:bCs w:val="0"/>
                <w:color w:val="auto"/>
                <w:sz w:val="24"/>
                <w:szCs w:val="24"/>
                <w:highlight w:val="none"/>
                <w:lang w:eastAsia="zh-CN"/>
              </w:rPr>
              <w:t>厂区洒水降尘，不外排。</w:t>
            </w:r>
            <w:r>
              <w:rPr>
                <w:rFonts w:hint="default" w:ascii="Times New Roman" w:hAnsi="Times New Roman" w:eastAsia="宋体" w:cs="Times New Roman"/>
                <w:b w:val="0"/>
                <w:bCs w:val="0"/>
                <w:color w:val="auto"/>
                <w:sz w:val="24"/>
                <w:szCs w:val="24"/>
                <w:highlight w:val="none"/>
              </w:rPr>
              <w:t>车间地面冲洗废水、清洗</w:t>
            </w:r>
            <w:r>
              <w:rPr>
                <w:rFonts w:hint="default" w:ascii="Times New Roman" w:hAnsi="Times New Roman" w:cs="Times New Roman"/>
                <w:b w:val="0"/>
                <w:bCs w:val="0"/>
                <w:color w:val="auto"/>
                <w:sz w:val="24"/>
                <w:szCs w:val="24"/>
                <w:highlight w:val="none"/>
                <w:lang w:eastAsia="zh-CN"/>
              </w:rPr>
              <w:t>废水</w:t>
            </w:r>
            <w:r>
              <w:rPr>
                <w:rFonts w:hint="default" w:ascii="Times New Roman" w:hAnsi="Times New Roman" w:eastAsia="宋体" w:cs="Times New Roman"/>
                <w:b w:val="0"/>
                <w:bCs w:val="0"/>
                <w:color w:val="auto"/>
                <w:sz w:val="24"/>
                <w:szCs w:val="24"/>
                <w:highlight w:val="none"/>
              </w:rPr>
              <w:t>暂存厂区30m³密闭储罐内，每天由专用罐车拉运至</w:t>
            </w:r>
            <w:r>
              <w:rPr>
                <w:rFonts w:hint="eastAsia"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处理，经</w:t>
            </w:r>
            <w:r>
              <w:rPr>
                <w:rFonts w:hint="eastAsia" w:cs="Times New Roman"/>
                <w:b w:val="0"/>
                <w:bCs w:val="0"/>
                <w:color w:val="auto"/>
                <w:sz w:val="24"/>
                <w:szCs w:val="24"/>
                <w:highlight w:val="none"/>
                <w:lang w:eastAsia="zh-CN"/>
              </w:rPr>
              <w:t>五常市民泉污水处理有限公司</w:t>
            </w:r>
            <w:r>
              <w:rPr>
                <w:rFonts w:hint="default" w:ascii="Times New Roman" w:hAnsi="Times New Roman" w:eastAsia="宋体" w:cs="Times New Roman"/>
                <w:b w:val="0"/>
                <w:bCs w:val="0"/>
                <w:color w:val="auto"/>
                <w:sz w:val="24"/>
                <w:szCs w:val="24"/>
                <w:highlight w:val="none"/>
              </w:rPr>
              <w:t>处理达标后排放。本项目产生的废水中COD、氨氮、SS、BOD</w:t>
            </w:r>
            <w:r>
              <w:rPr>
                <w:rFonts w:hint="default" w:ascii="Times New Roman" w:hAnsi="Times New Roman" w:eastAsia="宋体" w:cs="Times New Roman"/>
                <w:b w:val="0"/>
                <w:bCs w:val="0"/>
                <w:color w:val="auto"/>
                <w:sz w:val="24"/>
                <w:szCs w:val="24"/>
                <w:highlight w:val="none"/>
                <w:vertAlign w:val="subscript"/>
              </w:rPr>
              <w:t>5</w:t>
            </w:r>
            <w:r>
              <w:rPr>
                <w:rFonts w:hint="default" w:ascii="Times New Roman" w:hAnsi="Times New Roman" w:eastAsia="宋体" w:cs="Times New Roman"/>
                <w:b w:val="0"/>
                <w:bCs w:val="0"/>
                <w:color w:val="auto"/>
                <w:sz w:val="24"/>
                <w:szCs w:val="24"/>
                <w:highlight w:val="none"/>
              </w:rPr>
              <w:t>、pH的排</w:t>
            </w:r>
            <w:r>
              <w:rPr>
                <w:rFonts w:hint="default" w:ascii="Times New Roman" w:hAnsi="Times New Roman" w:eastAsia="宋体" w:cs="Times New Roman"/>
                <w:b w:val="0"/>
                <w:bCs w:val="0"/>
                <w:color w:val="auto"/>
                <w:sz w:val="24"/>
                <w:szCs w:val="24"/>
              </w:rPr>
              <w:t>放浓度满足《污水综合排放标准》（GB8978-1996）三级标准及</w:t>
            </w:r>
            <w:r>
              <w:rPr>
                <w:rFonts w:hint="eastAsia" w:cs="Times New Roman"/>
                <w:b w:val="0"/>
                <w:bCs w:val="0"/>
                <w:color w:val="auto"/>
                <w:sz w:val="24"/>
                <w:szCs w:val="24"/>
                <w:lang w:eastAsia="zh-CN"/>
              </w:rPr>
              <w:t>五常市民泉污水处理有限公司</w:t>
            </w:r>
            <w:r>
              <w:rPr>
                <w:rFonts w:hint="default" w:ascii="Times New Roman" w:hAnsi="Times New Roman" w:eastAsia="宋体" w:cs="Times New Roman"/>
                <w:b w:val="0"/>
                <w:bCs w:val="0"/>
                <w:color w:val="auto"/>
                <w:sz w:val="24"/>
                <w:szCs w:val="24"/>
              </w:rPr>
              <w:t>进水水质标准。本项目产生的</w:t>
            </w:r>
            <w:r>
              <w:rPr>
                <w:rFonts w:hint="default" w:ascii="Times New Roman" w:hAnsi="Times New Roman" w:eastAsia="宋体" w:cs="Times New Roman"/>
                <w:b w:val="0"/>
                <w:bCs w:val="0"/>
                <w:color w:val="auto"/>
                <w:sz w:val="24"/>
                <w:szCs w:val="24"/>
                <w:lang w:val="en-US" w:eastAsia="zh-CN"/>
              </w:rPr>
              <w:t>废水</w:t>
            </w:r>
            <w:r>
              <w:rPr>
                <w:rFonts w:hint="default" w:ascii="Times New Roman" w:hAnsi="Times New Roman" w:eastAsia="宋体" w:cs="Times New Roman"/>
                <w:b w:val="0"/>
                <w:bCs w:val="0"/>
                <w:color w:val="auto"/>
                <w:sz w:val="24"/>
                <w:szCs w:val="24"/>
              </w:rPr>
              <w:t>对地表水体环境影响较小</w:t>
            </w:r>
            <w:r>
              <w:rPr>
                <w:rFonts w:hint="default" w:ascii="Times New Roman" w:hAnsi="Times New Roman" w:cs="Times New Roman"/>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噪声</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3.1 噪声影响分析</w:t>
            </w:r>
          </w:p>
          <w:p>
            <w:pPr>
              <w:pStyle w:val="7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（1）噪声源强</w:t>
            </w:r>
          </w:p>
          <w:p>
            <w:pPr>
              <w:spacing w:line="360" w:lineRule="auto"/>
              <w:ind w:firstLine="480" w:firstLineChars="200"/>
              <w:jc w:val="left"/>
              <w:rPr>
                <w:rFonts w:hint="default" w:ascii="Times New Roman" w:hAnsi="Times New Roman" w:cs="Times New Roman"/>
                <w:b w:val="0"/>
                <w:bCs w:val="0"/>
                <w:color w:val="auto"/>
                <w:sz w:val="24"/>
                <w:szCs w:val="24"/>
                <w:highlight w:val="none"/>
              </w:rPr>
            </w:pPr>
            <w:r>
              <w:rPr>
                <w:sz w:val="24"/>
              </w:rPr>
              <w:t>本项目运营期噪声主要</w:t>
            </w:r>
            <w:r>
              <w:rPr>
                <w:rFonts w:hint="eastAsia"/>
                <w:sz w:val="24"/>
                <w:lang w:eastAsia="zh-CN"/>
              </w:rPr>
              <w:t>来自</w:t>
            </w:r>
            <w:r>
              <w:rPr>
                <w:rFonts w:hint="eastAsia"/>
                <w:sz w:val="24"/>
              </w:rPr>
              <w:t>生产</w:t>
            </w:r>
            <w:r>
              <w:rPr>
                <w:sz w:val="24"/>
              </w:rPr>
              <w:t>等机械设备</w:t>
            </w:r>
            <w:r>
              <w:rPr>
                <w:rFonts w:hint="eastAsia"/>
                <w:sz w:val="24"/>
                <w:lang w:eastAsia="zh-CN"/>
              </w:rPr>
              <w:t>、风机、水泵等</w:t>
            </w:r>
            <w:r>
              <w:rPr>
                <w:sz w:val="24"/>
              </w:rPr>
              <w:t>产生的噪声，</w:t>
            </w:r>
            <w:r>
              <w:rPr>
                <w:rFonts w:hint="eastAsia" w:cs="Times New Roman"/>
                <w:b w:val="0"/>
                <w:bCs w:val="0"/>
                <w:color w:val="auto"/>
                <w:sz w:val="24"/>
                <w:szCs w:val="24"/>
                <w:highlight w:val="none"/>
                <w:lang w:val="en-US" w:eastAsia="zh-CN"/>
              </w:rPr>
              <w:t>噪声值</w:t>
            </w:r>
            <w:r>
              <w:rPr>
                <w:rFonts w:hint="default" w:ascii="Times New Roman" w:hAnsi="Times New Roman" w:eastAsia="宋体" w:cs="Times New Roman"/>
                <w:b w:val="0"/>
                <w:bCs w:val="0"/>
                <w:color w:val="auto"/>
                <w:sz w:val="24"/>
                <w:szCs w:val="24"/>
                <w:highlight w:val="none"/>
                <w:lang w:val="en-US" w:eastAsia="zh-CN"/>
              </w:rPr>
              <w:t>在70-90dB(A)之间。噪声源强见表4-</w:t>
            </w:r>
            <w:r>
              <w:rPr>
                <w:rFonts w:hint="eastAsia" w:ascii="Times New Roman" w:hAnsi="Times New Roman" w:cs="Times New Roman"/>
                <w:b w:val="0"/>
                <w:bCs w:val="0"/>
                <w:color w:val="auto"/>
                <w:sz w:val="24"/>
                <w:szCs w:val="24"/>
                <w:highlight w:val="none"/>
                <w:lang w:val="en-US" w:eastAsia="zh-CN"/>
              </w:rPr>
              <w:t>9</w:t>
            </w:r>
            <w:r>
              <w:rPr>
                <w:rFonts w:hint="default" w:ascii="Times New Roman" w:hAnsi="Times New Roman" w:cs="Times New Roman"/>
                <w:b w:val="0"/>
                <w:bCs w:val="0"/>
                <w:color w:val="auto"/>
                <w:sz w:val="24"/>
                <w:szCs w:val="24"/>
                <w:highlight w:val="none"/>
              </w:rPr>
              <w:t>。</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w:t>
            </w:r>
            <w:r>
              <w:rPr>
                <w:rFonts w:hint="eastAsia" w:ascii="Times New Roman" w:hAnsi="Times New Roman" w:cs="Times New Roman" w:eastAsiaTheme="minorEastAsia"/>
                <w:b/>
                <w:bCs/>
                <w:color w:val="auto"/>
                <w:sz w:val="21"/>
                <w:szCs w:val="24"/>
                <w:lang w:val="en-US" w:eastAsia="zh-CN"/>
              </w:rPr>
              <w:t xml:space="preserve">9 </w:t>
            </w:r>
            <w:r>
              <w:rPr>
                <w:rFonts w:hint="default" w:ascii="Times New Roman" w:hAnsi="Times New Roman" w:cs="Times New Roman" w:eastAsiaTheme="minorEastAsia"/>
                <w:b/>
                <w:bCs/>
                <w:color w:val="auto"/>
                <w:sz w:val="21"/>
                <w:szCs w:val="24"/>
                <w:lang w:val="en-US" w:eastAsia="zh-CN"/>
              </w:rPr>
              <w:t xml:space="preserve"> 主要设备噪声源一览表  单位：dB(A)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825"/>
              <w:gridCol w:w="990"/>
              <w:gridCol w:w="678"/>
              <w:gridCol w:w="574"/>
              <w:gridCol w:w="805"/>
              <w:gridCol w:w="728"/>
              <w:gridCol w:w="950"/>
              <w:gridCol w:w="672"/>
              <w:gridCol w:w="819"/>
              <w:gridCol w:w="579"/>
              <w:gridCol w:w="66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restart"/>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生产</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工序</w:t>
                  </w:r>
                </w:p>
              </w:tc>
              <w:tc>
                <w:tcPr>
                  <w:tcW w:w="597" w:type="pct"/>
                  <w:vMerge w:val="restart"/>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噪声源</w:t>
                  </w:r>
                </w:p>
              </w:tc>
              <w:tc>
                <w:tcPr>
                  <w:tcW w:w="409" w:type="pct"/>
                  <w:vMerge w:val="restart"/>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数量</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（台）</w:t>
                  </w:r>
                </w:p>
              </w:tc>
              <w:tc>
                <w:tcPr>
                  <w:tcW w:w="346" w:type="pct"/>
                  <w:vMerge w:val="restart"/>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声源</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类型</w:t>
                  </w:r>
                </w:p>
              </w:tc>
              <w:tc>
                <w:tcPr>
                  <w:tcW w:w="924" w:type="pct"/>
                  <w:gridSpan w:val="2"/>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噪声声源</w:t>
                  </w:r>
                </w:p>
              </w:tc>
              <w:tc>
                <w:tcPr>
                  <w:tcW w:w="978" w:type="pct"/>
                  <w:gridSpan w:val="2"/>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降噪措施</w:t>
                  </w:r>
                </w:p>
              </w:tc>
              <w:tc>
                <w:tcPr>
                  <w:tcW w:w="843" w:type="pct"/>
                  <w:gridSpan w:val="2"/>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噪声排放值</w:t>
                  </w:r>
                </w:p>
              </w:tc>
              <w:tc>
                <w:tcPr>
                  <w:tcW w:w="402" w:type="pct"/>
                  <w:vMerge w:val="restart"/>
                  <w:tcBorders>
                    <w:left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持续时间（h）</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59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09"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核算方法</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噪声值</w:t>
                  </w:r>
                </w:p>
              </w:tc>
              <w:tc>
                <w:tcPr>
                  <w:tcW w:w="57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工艺</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降噪效果</w:t>
                  </w:r>
                </w:p>
              </w:tc>
              <w:tc>
                <w:tcPr>
                  <w:tcW w:w="4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核算方法</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噪声值</w:t>
                  </w:r>
                </w:p>
              </w:tc>
              <w:tc>
                <w:tcPr>
                  <w:tcW w:w="402" w:type="pct"/>
                  <w:vMerge w:val="continue"/>
                  <w:tcBorders>
                    <w:top w:val="single" w:color="000000" w:sz="4" w:space="0"/>
                    <w:left w:val="single" w:color="000000" w:sz="4" w:space="0"/>
                    <w:bottom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38" w:hRule="atLeast"/>
                <w:jc w:val="center"/>
              </w:trPr>
              <w:tc>
                <w:tcPr>
                  <w:tcW w:w="497" w:type="pc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cs="Times New Roman"/>
                      <w:iCs/>
                      <w:color w:val="auto"/>
                      <w:sz w:val="21"/>
                      <w:szCs w:val="21"/>
                      <w:highlight w:val="none"/>
                      <w:lang w:eastAsia="zh-CN"/>
                    </w:rPr>
                    <w:t>锅炉</w:t>
                  </w:r>
                </w:p>
              </w:tc>
              <w:tc>
                <w:tcPr>
                  <w:tcW w:w="597"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风机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eastAsia" w:cs="Times New Roman"/>
                      <w:iCs/>
                      <w:color w:val="auto"/>
                      <w:sz w:val="21"/>
                      <w:szCs w:val="21"/>
                      <w:highlight w:val="none"/>
                      <w:lang w:val="en-US" w:eastAsia="zh-CN"/>
                    </w:rPr>
                    <w:t>2</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频发</w:t>
                  </w:r>
                </w:p>
              </w:tc>
              <w:tc>
                <w:tcPr>
                  <w:tcW w:w="485"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rPr>
                    <w:t>类比法</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90</w:t>
                  </w:r>
                </w:p>
              </w:tc>
              <w:tc>
                <w:tcPr>
                  <w:tcW w:w="57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lang w:eastAsia="zh-CN"/>
                    </w:rPr>
                    <w:t>建筑物隔声</w:t>
                  </w:r>
                  <w:r>
                    <w:rPr>
                      <w:rFonts w:hint="default" w:ascii="Times New Roman" w:hAnsi="Times New Roman" w:cs="Times New Roman"/>
                      <w:iCs/>
                      <w:color w:val="auto"/>
                      <w:sz w:val="21"/>
                      <w:szCs w:val="21"/>
                      <w:highlight w:val="none"/>
                    </w:rPr>
                    <w:t>、基础减振</w:t>
                  </w:r>
                </w:p>
              </w:tc>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25</w:t>
                  </w:r>
                </w:p>
              </w:tc>
              <w:tc>
                <w:tcPr>
                  <w:tcW w:w="494"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r>
                    <w:rPr>
                      <w:rFonts w:hint="default" w:ascii="Times New Roman" w:hAnsi="Times New Roman" w:cs="Times New Roman"/>
                      <w:sz w:val="21"/>
                      <w:szCs w:val="21"/>
                    </w:rPr>
                    <w:t>物料衡算法</w:t>
                  </w:r>
                </w:p>
              </w:tc>
              <w:tc>
                <w:tcPr>
                  <w:tcW w:w="34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65</w:t>
                  </w:r>
                </w:p>
              </w:tc>
              <w:tc>
                <w:tcPr>
                  <w:tcW w:w="402" w:type="pct"/>
                  <w:vMerge w:val="restart"/>
                  <w:tcBorders>
                    <w:top w:val="single" w:color="000000" w:sz="4" w:space="0"/>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600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eastAsia="宋体" w:cs="Times New Roman"/>
                      <w:color w:val="auto"/>
                      <w:sz w:val="21"/>
                      <w:szCs w:val="21"/>
                      <w:highlight w:val="none"/>
                      <w:lang w:val="en-US" w:eastAsia="zh-CN"/>
                    </w:rPr>
                    <w:t>软化水设备</w:t>
                  </w:r>
                  <w:r>
                    <w:rPr>
                      <w:rFonts w:hint="default" w:ascii="Times New Roman" w:hAnsi="Times New Roman" w:cs="Times New Roman"/>
                      <w:iCs/>
                      <w:color w:val="auto"/>
                      <w:sz w:val="21"/>
                      <w:szCs w:val="21"/>
                      <w:highlight w:val="none"/>
                    </w:rPr>
                    <w:t xml:space="preserve"> </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水泵</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p>
              </w:tc>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65</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restart"/>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lang w:eastAsia="zh-CN"/>
                    </w:rPr>
                    <w:t>生产</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高温灭菌锅</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lang w:val="en-US" w:eastAsia="zh-CN"/>
                    </w:rPr>
                    <w:t>13</w:t>
                  </w:r>
                </w:p>
              </w:tc>
              <w:tc>
                <w:tcPr>
                  <w:tcW w:w="3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75</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p>
              </w:tc>
              <w:tc>
                <w:tcPr>
                  <w:tcW w:w="40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cs="Times New Roman"/>
                      <w:iCs/>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kern w:val="2"/>
                      <w:sz w:val="21"/>
                      <w:szCs w:val="21"/>
                      <w:highlight w:val="none"/>
                      <w:lang w:val="en-US" w:eastAsia="zh-CN" w:bidi="ar-SA"/>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sz w:val="21"/>
                      <w:szCs w:val="21"/>
                      <w:highlight w:val="none"/>
                      <w:lang w:val="en-US" w:eastAsia="zh-CN"/>
                    </w:rPr>
                    <w:t>50</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自动灌装机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18</w:t>
                  </w:r>
                </w:p>
              </w:tc>
              <w:tc>
                <w:tcPr>
                  <w:tcW w:w="5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80</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55</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清洗线</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4</w:t>
                  </w:r>
                </w:p>
              </w:tc>
              <w:tc>
                <w:tcPr>
                  <w:tcW w:w="5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80</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55</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594" w:hRule="atLeast"/>
                <w:jc w:val="center"/>
              </w:trPr>
              <w:tc>
                <w:tcPr>
                  <w:tcW w:w="49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去头尾机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8</w:t>
                  </w:r>
                </w:p>
              </w:tc>
              <w:tc>
                <w:tcPr>
                  <w:tcW w:w="5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75</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50</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风干线</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4</w:t>
                  </w:r>
                </w:p>
              </w:tc>
              <w:tc>
                <w:tcPr>
                  <w:tcW w:w="5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iCs/>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70</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45</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97"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59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气吹式剥皮机</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4</w:t>
                  </w:r>
                </w:p>
              </w:tc>
              <w:tc>
                <w:tcPr>
                  <w:tcW w:w="5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iCs/>
                      <w:color w:val="auto"/>
                      <w:sz w:val="21"/>
                      <w:szCs w:val="21"/>
                      <w:highlight w:val="none"/>
                    </w:rPr>
                  </w:pPr>
                  <w:r>
                    <w:rPr>
                      <w:rFonts w:hint="default" w:ascii="Times New Roman" w:hAnsi="Times New Roman" w:cs="Times New Roman"/>
                      <w:color w:val="auto"/>
                      <w:sz w:val="21"/>
                      <w:szCs w:val="21"/>
                      <w:highlight w:val="none"/>
                    </w:rPr>
                    <w:t>频发</w:t>
                  </w:r>
                </w:p>
              </w:tc>
              <w:tc>
                <w:tcPr>
                  <w:tcW w:w="485"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43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iCs/>
                      <w:color w:val="auto"/>
                      <w:sz w:val="21"/>
                      <w:szCs w:val="21"/>
                      <w:highlight w:val="none"/>
                      <w:lang w:val="en-US" w:eastAsia="zh-CN"/>
                    </w:rPr>
                    <w:t>85</w:t>
                  </w:r>
                </w:p>
              </w:tc>
              <w:tc>
                <w:tcPr>
                  <w:tcW w:w="573"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lang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i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w:t>
                  </w:r>
                </w:p>
              </w:tc>
              <w:tc>
                <w:tcPr>
                  <w:tcW w:w="494" w:type="pct"/>
                  <w:vMerge w:val="continue"/>
                  <w:tcBorders>
                    <w:left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iCs/>
                      <w:color w:val="auto"/>
                      <w:sz w:val="21"/>
                      <w:szCs w:val="21"/>
                      <w:highlight w:val="none"/>
                    </w:rPr>
                  </w:pPr>
                </w:p>
              </w:tc>
              <w:tc>
                <w:tcPr>
                  <w:tcW w:w="349"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60</w:t>
                  </w:r>
                </w:p>
              </w:tc>
              <w:tc>
                <w:tcPr>
                  <w:tcW w:w="402" w:type="pct"/>
                  <w:vMerge w:val="continue"/>
                  <w:tcBorders>
                    <w:lef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iCs/>
                      <w:color w:val="auto"/>
                      <w:sz w:val="21"/>
                      <w:szCs w:val="21"/>
                      <w:highlight w:val="none"/>
                      <w:lang w:val="en-US" w:eastAsia="zh-CN"/>
                    </w:rPr>
                  </w:pPr>
                </w:p>
              </w:tc>
            </w:tr>
          </w:tbl>
          <w:p>
            <w:pPr>
              <w:pStyle w:val="8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lang w:val="en-US" w:eastAsia="zh-CN"/>
              </w:rPr>
              <w:t>（2）</w:t>
            </w:r>
            <w:r>
              <w:rPr>
                <w:rFonts w:hint="default" w:ascii="Times New Roman" w:hAnsi="Times New Roman" w:cs="Times New Roman"/>
                <w:b w:val="0"/>
                <w:bCs w:val="0"/>
                <w:color w:val="auto"/>
                <w:sz w:val="24"/>
                <w:szCs w:val="24"/>
                <w:highlight w:val="none"/>
                <w:u w:val="none"/>
              </w:rPr>
              <w:t>评价标准和评价方法</w:t>
            </w:r>
          </w:p>
          <w:p>
            <w:pPr>
              <w:pStyle w:val="45"/>
              <w:keepNext w:val="0"/>
              <w:keepLines w:val="0"/>
              <w:pageBreakBefore w:val="0"/>
              <w:widowControl w:val="0"/>
              <w:kinsoku/>
              <w:wordWrap/>
              <w:overflowPunct/>
              <w:topLinePunct w:val="0"/>
              <w:autoSpaceDE/>
              <w:autoSpaceDN/>
              <w:bidi w:val="0"/>
              <w:adjustRightInd/>
              <w:snapToGrid/>
              <w:spacing w:line="360" w:lineRule="auto"/>
              <w:ind w:firstLine="480"/>
              <w:outlineLvl w:val="9"/>
              <w:rPr>
                <w:rFonts w:hint="default" w:ascii="Times New Roman" w:hAnsi="Times New Roman" w:cs="Times New Roman"/>
                <w:b w:val="0"/>
                <w:bCs w:val="0"/>
                <w:color w:val="auto"/>
                <w:spacing w:val="0"/>
                <w:sz w:val="24"/>
                <w:szCs w:val="24"/>
                <w:highlight w:val="none"/>
                <w:u w:val="none"/>
              </w:rPr>
            </w:pPr>
            <w:r>
              <w:rPr>
                <w:rFonts w:hint="default" w:ascii="Times New Roman" w:hAnsi="Times New Roman" w:cs="Times New Roman"/>
                <w:b w:val="0"/>
                <w:bCs w:val="0"/>
                <w:color w:val="auto"/>
                <w:spacing w:val="0"/>
                <w:sz w:val="24"/>
                <w:szCs w:val="24"/>
                <w:highlight w:val="none"/>
                <w:u w:val="none"/>
              </w:rPr>
              <w:t>评价标准为《工业企业厂界环境噪声排放标准》（GB12348-2008）中的</w:t>
            </w:r>
            <w:r>
              <w:rPr>
                <w:rFonts w:hint="default" w:ascii="Times New Roman" w:hAnsi="Times New Roman" w:cs="Times New Roman"/>
                <w:b w:val="0"/>
                <w:bCs w:val="0"/>
                <w:color w:val="auto"/>
                <w:spacing w:val="0"/>
                <w:sz w:val="24"/>
                <w:szCs w:val="24"/>
                <w:highlight w:val="none"/>
                <w:u w:val="none"/>
                <w:lang w:val="en-US" w:eastAsia="zh-CN"/>
              </w:rPr>
              <w:t>2</w:t>
            </w:r>
            <w:r>
              <w:rPr>
                <w:rFonts w:hint="default" w:ascii="Times New Roman" w:hAnsi="Times New Roman" w:cs="Times New Roman"/>
                <w:b w:val="0"/>
                <w:bCs w:val="0"/>
                <w:color w:val="auto"/>
                <w:spacing w:val="0"/>
                <w:sz w:val="24"/>
                <w:szCs w:val="24"/>
                <w:highlight w:val="none"/>
                <w:u w:val="none"/>
              </w:rPr>
              <w:t>类标准，评价方法为噪声源经治理后所确定的发声建筑物外1m处虚拟点声源强度，按照点声源随距离增加的衰减规律预测至厂界外1m处的噪声强度，分析其是否达标。</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center"/>
              <w:outlineLvl w:val="9"/>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（3）预测模式</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center"/>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某一室内声源靠近围护结构处产生的倍频带声压级：</w:t>
            </w:r>
          </w:p>
          <w:p>
            <w:pPr>
              <w:pStyle w:val="86"/>
              <w:keepNext w:val="0"/>
              <w:keepLines w:val="0"/>
              <w:pageBreakBefore w:val="0"/>
              <w:widowControl w:val="0"/>
              <w:kinsoku/>
              <w:wordWrap/>
              <w:overflowPunct/>
              <w:topLinePunct w:val="0"/>
              <w:bidi w:val="0"/>
              <w:adjustRightInd/>
              <w:snapToGrid/>
              <w:spacing w:line="360" w:lineRule="auto"/>
              <w:ind w:left="0" w:leftChars="0" w:firstLine="198"/>
              <w:jc w:val="center"/>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position w:val="-28"/>
                <w:sz w:val="24"/>
                <w:szCs w:val="24"/>
                <w:highlight w:val="none"/>
                <w:u w:val="none"/>
              </w:rPr>
              <w:object>
                <v:shape id="_x0000_i1035" o:spt="75" type="#_x0000_t75" style="height:33.75pt;width:137.25pt;" o:ole="t" filled="f" o:preferrelative="t" stroked="f" coordsize="21600,21600">
                  <v:path/>
                  <v:fill on="f" focussize="0,0"/>
                  <v:stroke on="f"/>
                  <v:imagedata r:id="rId36" o:title=""/>
                  <o:lock v:ext="edit" aspectratio="t"/>
                  <w10:wrap type="none"/>
                  <w10:anchorlock/>
                </v:shape>
                <o:OLEObject Type="Embed" ProgID="Equation.3" ShapeID="_x0000_i1035" DrawAspect="Content" ObjectID="_1468075735" r:id="rId35">
                  <o:LockedField>false</o:LockedField>
                </o:OLEObject>
              </w:object>
            </w:r>
          </w:p>
          <w:p>
            <w:pPr>
              <w:pStyle w:val="86"/>
              <w:keepNext w:val="0"/>
              <w:keepLines w:val="0"/>
              <w:pageBreakBefore w:val="0"/>
              <w:widowControl w:val="0"/>
              <w:kinsoku/>
              <w:wordWrap/>
              <w:overflowPunct/>
              <w:topLinePunct w:val="0"/>
              <w:bidi w:val="0"/>
              <w:adjustRightInd/>
              <w:snapToGrid/>
              <w:spacing w:line="360" w:lineRule="auto"/>
              <w:ind w:left="1320" w:leftChars="0" w:hanging="1320" w:hangingChars="55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 xml:space="preserve">式中 </w:t>
            </w:r>
            <w:r>
              <w:rPr>
                <w:rFonts w:hint="default" w:ascii="Times New Roman" w:hAnsi="Times New Roman" w:cs="Times New Roman"/>
                <w:b w:val="0"/>
                <w:bCs w:val="0"/>
                <w:i/>
                <w:color w:val="auto"/>
                <w:sz w:val="24"/>
                <w:szCs w:val="24"/>
                <w:highlight w:val="none"/>
                <w:u w:val="none"/>
              </w:rPr>
              <w:t>Q</w:t>
            </w:r>
            <w:r>
              <w:rPr>
                <w:rFonts w:hint="default" w:ascii="Times New Roman" w:hAnsi="Times New Roman" w:cs="Times New Roman"/>
                <w:b w:val="0"/>
                <w:bCs w:val="0"/>
                <w:color w:val="auto"/>
                <w:sz w:val="24"/>
                <w:szCs w:val="24"/>
                <w:highlight w:val="none"/>
                <w:u w:val="none"/>
              </w:rPr>
              <w:t>——指向性因数，通常对无指向性声源，当声源放在房间中心时，</w:t>
            </w:r>
            <w:r>
              <w:rPr>
                <w:rFonts w:hint="default" w:ascii="Times New Roman" w:hAnsi="Times New Roman" w:cs="Times New Roman"/>
                <w:b w:val="0"/>
                <w:bCs w:val="0"/>
                <w:i/>
                <w:color w:val="auto"/>
                <w:sz w:val="24"/>
                <w:szCs w:val="24"/>
                <w:highlight w:val="none"/>
                <w:u w:val="none"/>
              </w:rPr>
              <w:t>Q</w:t>
            </w:r>
            <w:r>
              <w:rPr>
                <w:rFonts w:hint="default" w:ascii="Times New Roman" w:hAnsi="Times New Roman" w:cs="Times New Roman"/>
                <w:b w:val="0"/>
                <w:bCs w:val="0"/>
                <w:color w:val="auto"/>
                <w:sz w:val="24"/>
                <w:szCs w:val="24"/>
                <w:highlight w:val="none"/>
                <w:u w:val="none"/>
              </w:rPr>
              <w:t>=1，当放在一面墙的中心时，</w:t>
            </w:r>
            <w:r>
              <w:rPr>
                <w:rFonts w:hint="default" w:ascii="Times New Roman" w:hAnsi="Times New Roman" w:cs="Times New Roman"/>
                <w:b w:val="0"/>
                <w:bCs w:val="0"/>
                <w:i/>
                <w:color w:val="auto"/>
                <w:sz w:val="24"/>
                <w:szCs w:val="24"/>
                <w:highlight w:val="none"/>
                <w:u w:val="none"/>
              </w:rPr>
              <w:t>Q</w:t>
            </w:r>
            <w:r>
              <w:rPr>
                <w:rFonts w:hint="default" w:ascii="Times New Roman" w:hAnsi="Times New Roman" w:cs="Times New Roman"/>
                <w:b w:val="0"/>
                <w:bCs w:val="0"/>
                <w:color w:val="auto"/>
                <w:sz w:val="24"/>
                <w:szCs w:val="24"/>
                <w:highlight w:val="none"/>
                <w:u w:val="none"/>
              </w:rPr>
              <w:t>=2；当放在两面墙夹角处时，</w:t>
            </w:r>
            <w:r>
              <w:rPr>
                <w:rFonts w:hint="default" w:ascii="Times New Roman" w:hAnsi="Times New Roman" w:cs="Times New Roman"/>
                <w:b w:val="0"/>
                <w:bCs w:val="0"/>
                <w:i/>
                <w:color w:val="auto"/>
                <w:sz w:val="24"/>
                <w:szCs w:val="24"/>
                <w:highlight w:val="none"/>
                <w:u w:val="none"/>
              </w:rPr>
              <w:t>Q</w:t>
            </w:r>
            <w:r>
              <w:rPr>
                <w:rFonts w:hint="default" w:ascii="Times New Roman" w:hAnsi="Times New Roman" w:cs="Times New Roman"/>
                <w:b w:val="0"/>
                <w:bCs w:val="0"/>
                <w:color w:val="auto"/>
                <w:sz w:val="24"/>
                <w:szCs w:val="24"/>
                <w:highlight w:val="none"/>
                <w:u w:val="none"/>
              </w:rPr>
              <w:t>=4，当放在三面墙夹角处时，</w:t>
            </w:r>
            <w:r>
              <w:rPr>
                <w:rFonts w:hint="default" w:ascii="Times New Roman" w:hAnsi="Times New Roman" w:cs="Times New Roman"/>
                <w:b w:val="0"/>
                <w:bCs w:val="0"/>
                <w:i/>
                <w:color w:val="auto"/>
                <w:sz w:val="24"/>
                <w:szCs w:val="24"/>
                <w:highlight w:val="none"/>
                <w:u w:val="none"/>
              </w:rPr>
              <w:t>Q</w:t>
            </w:r>
            <w:r>
              <w:rPr>
                <w:rFonts w:hint="default" w:ascii="Times New Roman" w:hAnsi="Times New Roman" w:cs="Times New Roman"/>
                <w:b w:val="0"/>
                <w:bCs w:val="0"/>
                <w:color w:val="auto"/>
                <w:sz w:val="24"/>
                <w:szCs w:val="24"/>
                <w:highlight w:val="none"/>
                <w:u w:val="none"/>
              </w:rPr>
              <w:t>=8；</w:t>
            </w:r>
          </w:p>
          <w:p>
            <w:pPr>
              <w:pStyle w:val="86"/>
              <w:keepNext w:val="0"/>
              <w:keepLines w:val="0"/>
              <w:pageBreakBefore w:val="0"/>
              <w:widowControl w:val="0"/>
              <w:kinsoku/>
              <w:wordWrap/>
              <w:overflowPunct/>
              <w:topLinePunct w:val="0"/>
              <w:bidi w:val="0"/>
              <w:adjustRightInd/>
              <w:snapToGrid/>
              <w:spacing w:line="360" w:lineRule="auto"/>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——房间常数，</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S</w:t>
            </w:r>
            <w:r>
              <w:rPr>
                <w:rFonts w:hint="default" w:ascii="Times New Roman" w:hAnsi="Times New Roman" w:cs="Times New Roman"/>
                <w:b w:val="0"/>
                <w:bCs w:val="0"/>
                <w:color w:val="auto"/>
                <w:sz w:val="24"/>
                <w:szCs w:val="24"/>
                <w:highlight w:val="none"/>
                <w:u w:val="none"/>
              </w:rPr>
              <w:t>α/(1−α)，</w:t>
            </w:r>
            <w:r>
              <w:rPr>
                <w:rFonts w:hint="default" w:ascii="Times New Roman" w:hAnsi="Times New Roman" w:cs="Times New Roman"/>
                <w:b w:val="0"/>
                <w:bCs w:val="0"/>
                <w:i/>
                <w:color w:val="auto"/>
                <w:sz w:val="24"/>
                <w:szCs w:val="24"/>
                <w:highlight w:val="none"/>
                <w:u w:val="none"/>
              </w:rPr>
              <w:t>S</w:t>
            </w:r>
            <w:r>
              <w:rPr>
                <w:rFonts w:hint="default" w:ascii="Times New Roman" w:hAnsi="Times New Roman" w:cs="Times New Roman"/>
                <w:b w:val="0"/>
                <w:bCs w:val="0"/>
                <w:color w:val="auto"/>
                <w:sz w:val="24"/>
                <w:szCs w:val="24"/>
                <w:highlight w:val="none"/>
                <w:u w:val="none"/>
              </w:rPr>
              <w:t>为房间内表面面积，m</w:t>
            </w:r>
            <w:r>
              <w:rPr>
                <w:rFonts w:hint="default" w:ascii="Times New Roman" w:hAnsi="Times New Roman" w:cs="Times New Roman"/>
                <w:b w:val="0"/>
                <w:bCs w:val="0"/>
                <w:color w:val="auto"/>
                <w:sz w:val="24"/>
                <w:szCs w:val="24"/>
                <w:highlight w:val="none"/>
                <w:u w:val="none"/>
                <w:vertAlign w:val="superscript"/>
              </w:rPr>
              <w:t>2</w:t>
            </w:r>
            <w:r>
              <w:rPr>
                <w:rFonts w:hint="default" w:ascii="Times New Roman" w:hAnsi="Times New Roman" w:cs="Times New Roman"/>
                <w:b w:val="0"/>
                <w:bCs w:val="0"/>
                <w:color w:val="auto"/>
                <w:sz w:val="24"/>
                <w:szCs w:val="24"/>
                <w:highlight w:val="none"/>
                <w:u w:val="none"/>
              </w:rPr>
              <w:t>，α为平均吸声系数；</w:t>
            </w:r>
          </w:p>
          <w:p>
            <w:pPr>
              <w:pStyle w:val="86"/>
              <w:keepNext w:val="0"/>
              <w:keepLines w:val="0"/>
              <w:pageBreakBefore w:val="0"/>
              <w:widowControl w:val="0"/>
              <w:kinsoku/>
              <w:wordWrap/>
              <w:overflowPunct/>
              <w:topLinePunct w:val="0"/>
              <w:bidi w:val="0"/>
              <w:adjustRightInd/>
              <w:snapToGrid/>
              <w:spacing w:line="360" w:lineRule="auto"/>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——声源到靠近围护结构某点处的距离，m。</w:t>
            </w:r>
          </w:p>
          <w:p>
            <w:pPr>
              <w:pStyle w:val="86"/>
              <w:keepNext w:val="0"/>
              <w:keepLines w:val="0"/>
              <w:pageBreakBefore w:val="0"/>
              <w:widowControl w:val="0"/>
              <w:kinsoku/>
              <w:wordWrap/>
              <w:overflowPunct/>
              <w:topLinePunct w:val="0"/>
              <w:bidi w:val="0"/>
              <w:adjustRightInd/>
              <w:snapToGrid/>
              <w:spacing w:line="360" w:lineRule="auto"/>
              <w:ind w:left="0" w:leftChars="0" w:firstLine="480" w:firstLineChars="20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所有室内声源在围护结构处产生的</w:t>
            </w:r>
            <w:r>
              <w:rPr>
                <w:rFonts w:hint="default" w:ascii="Times New Roman" w:hAnsi="Times New Roman" w:cs="Times New Roman"/>
                <w:b w:val="0"/>
                <w:bCs w:val="0"/>
                <w:i/>
                <w:color w:val="auto"/>
                <w:sz w:val="24"/>
                <w:szCs w:val="24"/>
                <w:highlight w:val="none"/>
                <w:u w:val="none"/>
              </w:rPr>
              <w:t>i</w:t>
            </w:r>
            <w:r>
              <w:rPr>
                <w:rFonts w:hint="default" w:ascii="Times New Roman" w:hAnsi="Times New Roman" w:cs="Times New Roman"/>
                <w:b w:val="0"/>
                <w:bCs w:val="0"/>
                <w:color w:val="auto"/>
                <w:sz w:val="24"/>
                <w:szCs w:val="24"/>
                <w:highlight w:val="none"/>
                <w:u w:val="none"/>
              </w:rPr>
              <w:t>倍频带叠加声压级：</w:t>
            </w:r>
          </w:p>
          <w:p>
            <w:pPr>
              <w:pStyle w:val="86"/>
              <w:keepNext w:val="0"/>
              <w:keepLines w:val="0"/>
              <w:pageBreakBefore w:val="0"/>
              <w:widowControl w:val="0"/>
              <w:kinsoku/>
              <w:wordWrap/>
              <w:overflowPunct/>
              <w:topLinePunct w:val="0"/>
              <w:bidi w:val="0"/>
              <w:adjustRightInd/>
              <w:snapToGrid/>
              <w:spacing w:line="360" w:lineRule="auto"/>
              <w:ind w:left="0" w:leftChars="0" w:firstLine="198"/>
              <w:jc w:val="center"/>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position w:val="-34"/>
                <w:sz w:val="24"/>
                <w:szCs w:val="24"/>
                <w:highlight w:val="none"/>
                <w:u w:val="none"/>
              </w:rPr>
              <w:object>
                <v:shape id="_x0000_i1036" o:spt="75" type="#_x0000_t75" style="height:39.75pt;width:132.7pt;" o:ole="t" filled="f" o:preferrelative="t" stroked="f" coordsize="21600,21600">
                  <v:path/>
                  <v:fill on="f" focussize="0,0"/>
                  <v:stroke on="f"/>
                  <v:imagedata r:id="rId38" o:title=""/>
                  <o:lock v:ext="edit" aspectratio="t"/>
                  <w10:wrap type="none"/>
                  <w10:anchorlock/>
                </v:shape>
                <o:OLEObject Type="Embed" ProgID="Equation.3" ShapeID="_x0000_i1036" DrawAspect="Content" ObjectID="_1468075736" r:id="rId37">
                  <o:LockedField>false</o:LockedField>
                </o:OLEObject>
              </w:object>
            </w:r>
          </w:p>
          <w:p>
            <w:pPr>
              <w:pStyle w:val="86"/>
              <w:keepNext w:val="0"/>
              <w:keepLines w:val="0"/>
              <w:pageBreakBefore w:val="0"/>
              <w:widowControl w:val="0"/>
              <w:kinsoku/>
              <w:wordWrap/>
              <w:overflowPunct/>
              <w:topLinePunct w:val="0"/>
              <w:bidi w:val="0"/>
              <w:adjustRightInd/>
              <w:snapToGrid/>
              <w:spacing w:line="360" w:lineRule="auto"/>
              <w:ind w:left="1920" w:leftChars="0" w:hanging="1920" w:hangingChars="80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 xml:space="preserve">式中  </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p1i</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T</w:t>
            </w:r>
            <w:r>
              <w:rPr>
                <w:rFonts w:hint="default" w:ascii="Times New Roman" w:hAnsi="Times New Roman" w:cs="Times New Roman"/>
                <w:b w:val="0"/>
                <w:bCs w:val="0"/>
                <w:color w:val="auto"/>
                <w:sz w:val="24"/>
                <w:szCs w:val="24"/>
                <w:highlight w:val="none"/>
                <w:u w:val="none"/>
              </w:rPr>
              <w:t>)——靠近围护结构处室内</w:t>
            </w:r>
            <w:r>
              <w:rPr>
                <w:rFonts w:hint="default" w:ascii="Times New Roman" w:hAnsi="Times New Roman" w:cs="Times New Roman"/>
                <w:b w:val="0"/>
                <w:bCs w:val="0"/>
                <w:i/>
                <w:iCs/>
                <w:color w:val="auto"/>
                <w:sz w:val="24"/>
                <w:szCs w:val="24"/>
                <w:highlight w:val="none"/>
                <w:u w:val="none"/>
              </w:rPr>
              <w:t>N</w:t>
            </w:r>
            <w:r>
              <w:rPr>
                <w:rFonts w:hint="default" w:ascii="Times New Roman" w:hAnsi="Times New Roman" w:cs="Times New Roman"/>
                <w:b w:val="0"/>
                <w:bCs w:val="0"/>
                <w:color w:val="auto"/>
                <w:sz w:val="24"/>
                <w:szCs w:val="24"/>
                <w:highlight w:val="none"/>
                <w:u w:val="none"/>
              </w:rPr>
              <w:t>个声源</w:t>
            </w:r>
            <w:r>
              <w:rPr>
                <w:rFonts w:hint="default" w:ascii="Times New Roman" w:hAnsi="Times New Roman" w:cs="Times New Roman"/>
                <w:b w:val="0"/>
                <w:bCs w:val="0"/>
                <w:i/>
                <w:iCs/>
                <w:color w:val="auto"/>
                <w:sz w:val="24"/>
                <w:szCs w:val="24"/>
                <w:highlight w:val="none"/>
                <w:u w:val="none"/>
              </w:rPr>
              <w:t>i</w:t>
            </w:r>
            <w:r>
              <w:rPr>
                <w:rFonts w:hint="default" w:ascii="Times New Roman" w:hAnsi="Times New Roman" w:cs="Times New Roman"/>
                <w:b w:val="0"/>
                <w:bCs w:val="0"/>
                <w:color w:val="auto"/>
                <w:sz w:val="24"/>
                <w:szCs w:val="24"/>
                <w:highlight w:val="none"/>
                <w:u w:val="none"/>
              </w:rPr>
              <w:t>倍频带的叠加声压级，dB；</w:t>
            </w:r>
          </w:p>
          <w:p>
            <w:pPr>
              <w:pStyle w:val="86"/>
              <w:keepNext w:val="0"/>
              <w:keepLines w:val="0"/>
              <w:pageBreakBefore w:val="0"/>
              <w:widowControl w:val="0"/>
              <w:kinsoku/>
              <w:wordWrap/>
              <w:overflowPunct/>
              <w:topLinePunct w:val="0"/>
              <w:bidi w:val="0"/>
              <w:adjustRightInd/>
              <w:snapToGrid/>
              <w:spacing w:line="360" w:lineRule="auto"/>
              <w:ind w:left="0" w:leftChars="0" w:firstLine="676" w:firstLineChars="282"/>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iCs/>
                <w:color w:val="auto"/>
                <w:sz w:val="24"/>
                <w:szCs w:val="24"/>
                <w:highlight w:val="none"/>
                <w:u w:val="none"/>
              </w:rPr>
              <w:t>L</w:t>
            </w:r>
            <w:r>
              <w:rPr>
                <w:rFonts w:hint="default" w:ascii="Times New Roman" w:hAnsi="Times New Roman" w:cs="Times New Roman"/>
                <w:b w:val="0"/>
                <w:bCs w:val="0"/>
                <w:iCs/>
                <w:color w:val="auto"/>
                <w:sz w:val="24"/>
                <w:szCs w:val="24"/>
                <w:highlight w:val="none"/>
                <w:u w:val="none"/>
                <w:vertAlign w:val="subscript"/>
              </w:rPr>
              <w:t>p</w:t>
            </w:r>
            <w:r>
              <w:rPr>
                <w:rFonts w:hint="default" w:ascii="Times New Roman" w:hAnsi="Times New Roman" w:cs="Times New Roman"/>
                <w:b w:val="0"/>
                <w:bCs w:val="0"/>
                <w:color w:val="auto"/>
                <w:sz w:val="24"/>
                <w:szCs w:val="24"/>
                <w:highlight w:val="none"/>
                <w:u w:val="none"/>
                <w:vertAlign w:val="subscript"/>
              </w:rPr>
              <w:t>1</w:t>
            </w:r>
            <w:r>
              <w:rPr>
                <w:rFonts w:hint="default" w:ascii="Times New Roman" w:hAnsi="Times New Roman" w:cs="Times New Roman"/>
                <w:b w:val="0"/>
                <w:bCs w:val="0"/>
                <w:iCs/>
                <w:color w:val="auto"/>
                <w:sz w:val="24"/>
                <w:szCs w:val="24"/>
                <w:highlight w:val="none"/>
                <w:u w:val="none"/>
                <w:vertAlign w:val="subscript"/>
              </w:rPr>
              <w:t>ij</w:t>
            </w:r>
            <w:r>
              <w:rPr>
                <w:rFonts w:hint="default" w:ascii="Times New Roman" w:hAnsi="Times New Roman" w:cs="Times New Roman"/>
                <w:b w:val="0"/>
                <w:bCs w:val="0"/>
                <w:color w:val="auto"/>
                <w:sz w:val="24"/>
                <w:szCs w:val="24"/>
                <w:highlight w:val="none"/>
                <w:u w:val="none"/>
              </w:rPr>
              <w:t>——室内</w:t>
            </w:r>
            <w:r>
              <w:rPr>
                <w:rFonts w:hint="default" w:ascii="Times New Roman" w:hAnsi="Times New Roman" w:cs="Times New Roman"/>
                <w:b w:val="0"/>
                <w:bCs w:val="0"/>
                <w:i/>
                <w:iCs/>
                <w:color w:val="auto"/>
                <w:sz w:val="24"/>
                <w:szCs w:val="24"/>
                <w:highlight w:val="none"/>
                <w:u w:val="none"/>
              </w:rPr>
              <w:t>j</w:t>
            </w:r>
            <w:r>
              <w:rPr>
                <w:rFonts w:hint="default" w:ascii="Times New Roman" w:hAnsi="Times New Roman" w:cs="Times New Roman"/>
                <w:b w:val="0"/>
                <w:bCs w:val="0"/>
                <w:color w:val="auto"/>
                <w:sz w:val="24"/>
                <w:szCs w:val="24"/>
                <w:highlight w:val="none"/>
                <w:u w:val="none"/>
              </w:rPr>
              <w:t>声源</w:t>
            </w:r>
            <w:r>
              <w:rPr>
                <w:rFonts w:hint="default" w:ascii="Times New Roman" w:hAnsi="Times New Roman" w:cs="Times New Roman"/>
                <w:b w:val="0"/>
                <w:bCs w:val="0"/>
                <w:i/>
                <w:iCs/>
                <w:color w:val="auto"/>
                <w:sz w:val="24"/>
                <w:szCs w:val="24"/>
                <w:highlight w:val="none"/>
                <w:u w:val="none"/>
              </w:rPr>
              <w:t>i</w:t>
            </w:r>
            <w:r>
              <w:rPr>
                <w:rFonts w:hint="default" w:ascii="Times New Roman" w:hAnsi="Times New Roman" w:cs="Times New Roman"/>
                <w:b w:val="0"/>
                <w:bCs w:val="0"/>
                <w:color w:val="auto"/>
                <w:sz w:val="24"/>
                <w:szCs w:val="24"/>
                <w:highlight w:val="none"/>
                <w:u w:val="none"/>
              </w:rPr>
              <w:t>倍频带的声压级，dB；</w:t>
            </w:r>
          </w:p>
          <w:p>
            <w:pPr>
              <w:pStyle w:val="86"/>
              <w:keepNext w:val="0"/>
              <w:keepLines w:val="0"/>
              <w:pageBreakBefore w:val="0"/>
              <w:widowControl w:val="0"/>
              <w:kinsoku/>
              <w:wordWrap/>
              <w:overflowPunct/>
              <w:topLinePunct w:val="0"/>
              <w:bidi w:val="0"/>
              <w:adjustRightInd/>
              <w:snapToGrid/>
              <w:spacing w:line="360" w:lineRule="auto"/>
              <w:ind w:left="0" w:leftChars="0" w:firstLine="796" w:firstLineChars="332"/>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iCs/>
                <w:color w:val="auto"/>
                <w:sz w:val="24"/>
                <w:szCs w:val="24"/>
                <w:highlight w:val="none"/>
                <w:u w:val="none"/>
              </w:rPr>
              <w:t>N</w:t>
            </w:r>
            <w:r>
              <w:rPr>
                <w:rFonts w:hint="default" w:ascii="Times New Roman" w:hAnsi="Times New Roman" w:cs="Times New Roman"/>
                <w:b w:val="0"/>
                <w:bCs w:val="0"/>
                <w:color w:val="auto"/>
                <w:sz w:val="24"/>
                <w:szCs w:val="24"/>
                <w:highlight w:val="none"/>
                <w:u w:val="none"/>
              </w:rPr>
              <w:t>——室内声源总数。</w:t>
            </w:r>
          </w:p>
          <w:p>
            <w:pPr>
              <w:pStyle w:val="86"/>
              <w:keepNext w:val="0"/>
              <w:keepLines w:val="0"/>
              <w:pageBreakBefore w:val="0"/>
              <w:widowControl w:val="0"/>
              <w:kinsoku/>
              <w:wordWrap/>
              <w:overflowPunct/>
              <w:topLinePunct w:val="0"/>
              <w:bidi w:val="0"/>
              <w:adjustRightInd/>
              <w:snapToGrid/>
              <w:spacing w:line="360" w:lineRule="auto"/>
              <w:ind w:left="0" w:leftChars="0" w:firstLine="480" w:firstLineChars="20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无指向性点声源几何发散衰减的基本公式是：</w:t>
            </w:r>
          </w:p>
          <w:p>
            <w:pPr>
              <w:pStyle w:val="86"/>
              <w:keepNext w:val="0"/>
              <w:keepLines w:val="0"/>
              <w:pageBreakBefore w:val="0"/>
              <w:widowControl w:val="0"/>
              <w:kinsoku/>
              <w:wordWrap/>
              <w:overflowPunct/>
              <w:topLinePunct w:val="0"/>
              <w:bidi w:val="0"/>
              <w:adjustRightInd/>
              <w:snapToGrid/>
              <w:spacing w:line="360" w:lineRule="auto"/>
              <w:ind w:left="0" w:leftChars="0" w:firstLine="198"/>
              <w:jc w:val="center"/>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position w:val="-30"/>
                <w:sz w:val="24"/>
                <w:szCs w:val="24"/>
                <w:highlight w:val="none"/>
                <w:u w:val="none"/>
              </w:rPr>
              <w:object>
                <v:shape id="_x0000_i1037" o:spt="75" type="#_x0000_t75" style="height:33.75pt;width:119.25pt;" o:ole="t" filled="f" o:preferrelative="t" stroked="f" coordsize="21600,21600">
                  <v:path/>
                  <v:fill on="f" focussize="0,0"/>
                  <v:stroke on="f"/>
                  <v:imagedata r:id="rId40" o:title=""/>
                  <o:lock v:ext="edit" aspectratio="t"/>
                  <w10:wrap type="none"/>
                  <w10:anchorlock/>
                </v:shape>
                <o:OLEObject Type="Embed" ProgID="Equation.3" ShapeID="_x0000_i1037" DrawAspect="Content" ObjectID="_1468075737" r:id="rId39">
                  <o:LockedField>false</o:LockedField>
                </o:OLEObject>
              </w:object>
            </w:r>
          </w:p>
          <w:p>
            <w:pPr>
              <w:keepNext w:val="0"/>
              <w:keepLines w:val="0"/>
              <w:pageBreakBefore w:val="0"/>
              <w:widowControl w:val="0"/>
              <w:kinsoku/>
              <w:wordWrap/>
              <w:overflowPunct/>
              <w:topLinePunct w:val="0"/>
              <w:bidi w:val="0"/>
              <w:adjustRightInd/>
              <w:snapToGrid/>
              <w:spacing w:line="360" w:lineRule="auto"/>
              <w:ind w:left="0" w:leftChars="0" w:firstLine="20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 xml:space="preserve">式中  </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p</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p</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i/>
                <w:color w:val="auto"/>
                <w:sz w:val="24"/>
                <w:szCs w:val="24"/>
                <w:highlight w:val="none"/>
                <w:u w:val="none"/>
                <w:vertAlign w:val="subscript"/>
              </w:rPr>
              <w:t>0</w:t>
            </w:r>
            <w:r>
              <w:rPr>
                <w:rFonts w:hint="default" w:ascii="Times New Roman" w:hAnsi="Times New Roman" w:cs="Times New Roman"/>
                <w:b w:val="0"/>
                <w:bCs w:val="0"/>
                <w:color w:val="auto"/>
                <w:sz w:val="24"/>
                <w:szCs w:val="24"/>
                <w:highlight w:val="none"/>
                <w:u w:val="none"/>
              </w:rPr>
              <w:t>)——距声源</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vertAlign w:val="subscript"/>
              </w:rPr>
              <w:t>0</w:t>
            </w:r>
            <w:r>
              <w:rPr>
                <w:rFonts w:hint="default" w:ascii="Times New Roman" w:hAnsi="Times New Roman" w:cs="Times New Roman"/>
                <w:b w:val="0"/>
                <w:bCs w:val="0"/>
                <w:color w:val="auto"/>
                <w:sz w:val="24"/>
                <w:szCs w:val="24"/>
                <w:highlight w:val="none"/>
                <w:u w:val="none"/>
              </w:rPr>
              <w:t>处的等效A声级，dB（A）；</w:t>
            </w:r>
          </w:p>
          <w:p>
            <w:pPr>
              <w:pStyle w:val="86"/>
              <w:keepNext w:val="0"/>
              <w:keepLines w:val="0"/>
              <w:pageBreakBefore w:val="0"/>
              <w:widowControl w:val="0"/>
              <w:kinsoku/>
              <w:wordWrap/>
              <w:overflowPunct/>
              <w:topLinePunct w:val="0"/>
              <w:bidi w:val="0"/>
              <w:adjustRightInd/>
              <w:snapToGrid/>
              <w:spacing w:line="360" w:lineRule="auto"/>
              <w:ind w:left="0" w:leftChars="0" w:firstLine="916" w:firstLineChars="382"/>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r</w:t>
            </w:r>
            <w:r>
              <w:rPr>
                <w:rFonts w:hint="default" w:ascii="Times New Roman" w:hAnsi="Times New Roman" w:cs="Times New Roman"/>
                <w:b w:val="0"/>
                <w:bCs w:val="0"/>
                <w:color w:val="auto"/>
                <w:sz w:val="24"/>
                <w:szCs w:val="24"/>
                <w:highlight w:val="none"/>
                <w:u w:val="none"/>
                <w:vertAlign w:val="subscript"/>
              </w:rPr>
              <w:t>0</w:t>
            </w:r>
            <w:r>
              <w:rPr>
                <w:rFonts w:hint="default" w:ascii="Times New Roman" w:hAnsi="Times New Roman" w:cs="Times New Roman"/>
                <w:b w:val="0"/>
                <w:bCs w:val="0"/>
                <w:color w:val="auto"/>
                <w:sz w:val="24"/>
                <w:szCs w:val="24"/>
                <w:highlight w:val="none"/>
                <w:u w:val="none"/>
              </w:rPr>
              <w:t>——</w:t>
            </w:r>
            <w:r>
              <w:rPr>
                <w:rFonts w:hint="eastAsia" w:cs="Times New Roman"/>
                <w:b w:val="0"/>
                <w:bCs w:val="0"/>
                <w:color w:val="auto"/>
                <w:sz w:val="24"/>
                <w:szCs w:val="24"/>
                <w:highlight w:val="none"/>
                <w:u w:val="none"/>
                <w:lang w:eastAsia="zh-CN"/>
              </w:rPr>
              <w:t>接收点</w:t>
            </w:r>
            <w:r>
              <w:rPr>
                <w:rFonts w:hint="default" w:ascii="Times New Roman" w:hAnsi="Times New Roman" w:cs="Times New Roman"/>
                <w:b w:val="0"/>
                <w:bCs w:val="0"/>
                <w:color w:val="auto"/>
                <w:sz w:val="24"/>
                <w:szCs w:val="24"/>
                <w:highlight w:val="none"/>
                <w:u w:val="none"/>
              </w:rPr>
              <w:t>距声源的距离，m。</w: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460" w:firstLineChars="192"/>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建设项目声源在预测点产生的等效声级贡献值(</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eqg</w:t>
            </w:r>
            <w:r>
              <w:rPr>
                <w:rFonts w:hint="default" w:ascii="Times New Roman" w:hAnsi="Times New Roman" w:cs="Times New Roman"/>
                <w:b w:val="0"/>
                <w:bCs w:val="0"/>
                <w:color w:val="auto"/>
                <w:sz w:val="24"/>
                <w:szCs w:val="24"/>
                <w:highlight w:val="none"/>
                <w:u w:val="none"/>
              </w:rPr>
              <w:t>)计算公式：</w: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198"/>
              <w:jc w:val="center"/>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position w:val="-30"/>
                <w:sz w:val="24"/>
                <w:szCs w:val="24"/>
                <w:highlight w:val="none"/>
                <w:u w:val="none"/>
              </w:rPr>
              <w:object>
                <v:shape id="_x0000_i1038" o:spt="75" type="#_x0000_t75" style="height:36pt;width:132.7pt;" o:ole="t" filled="f" o:preferrelative="t" stroked="f" coordsize="21600,21600">
                  <v:path/>
                  <v:fill on="f" focussize="0,0"/>
                  <v:stroke on="f"/>
                  <v:imagedata r:id="rId42" o:title=""/>
                  <o:lock v:ext="edit" aspectratio="t"/>
                  <w10:wrap type="none"/>
                  <w10:anchorlock/>
                </v:shape>
                <o:OLEObject Type="Embed" ProgID="Equation.3" ShapeID="_x0000_i1038" DrawAspect="Content" ObjectID="_1468075738" r:id="rId41">
                  <o:LockedField>false</o:LockedField>
                </o:OLEObject>
              </w:objec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200"/>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 xml:space="preserve">式中  </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eqg</w:t>
            </w:r>
            <w:r>
              <w:rPr>
                <w:rFonts w:hint="default" w:ascii="Times New Roman" w:hAnsi="Times New Roman" w:cs="Times New Roman"/>
                <w:b w:val="0"/>
                <w:bCs w:val="0"/>
                <w:color w:val="auto"/>
                <w:sz w:val="24"/>
                <w:szCs w:val="24"/>
                <w:highlight w:val="none"/>
                <w:u w:val="none"/>
              </w:rPr>
              <w:t>——建设项目声源在预测点的等效声级贡献值，dB(A)；</w: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820" w:firstLineChars="342"/>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Ai</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i</w:t>
            </w:r>
            <w:r>
              <w:rPr>
                <w:rFonts w:hint="default" w:ascii="Times New Roman" w:hAnsi="Times New Roman" w:cs="Times New Roman"/>
                <w:b w:val="0"/>
                <w:bCs w:val="0"/>
                <w:color w:val="auto"/>
                <w:sz w:val="24"/>
                <w:szCs w:val="24"/>
                <w:highlight w:val="none"/>
                <w:u w:val="none"/>
              </w:rPr>
              <w:t>声源在预测点产生的A声级，dB(A)；</w: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940" w:firstLineChars="392"/>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T</w:t>
            </w:r>
            <w:r>
              <w:rPr>
                <w:rFonts w:hint="default" w:ascii="Times New Roman" w:hAnsi="Times New Roman" w:cs="Times New Roman"/>
                <w:b w:val="0"/>
                <w:bCs w:val="0"/>
                <w:color w:val="auto"/>
                <w:sz w:val="24"/>
                <w:szCs w:val="24"/>
                <w:highlight w:val="none"/>
                <w:u w:val="none"/>
              </w:rPr>
              <w:t>——预测计算的时间段，s；</w:t>
            </w:r>
          </w:p>
          <w:p>
            <w:pPr>
              <w:pStyle w:val="86"/>
              <w:keepNext w:val="0"/>
              <w:keepLines w:val="0"/>
              <w:pageBreakBefore w:val="0"/>
              <w:widowControl w:val="0"/>
              <w:kinsoku/>
              <w:wordWrap/>
              <w:overflowPunct/>
              <w:topLinePunct w:val="0"/>
              <w:bidi w:val="0"/>
              <w:adjustRightInd/>
              <w:snapToGrid/>
              <w:spacing w:line="360" w:lineRule="auto"/>
              <w:ind w:left="0" w:leftChars="0" w:firstLine="840" w:firstLineChars="350"/>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i/>
                <w:color w:val="auto"/>
                <w:sz w:val="24"/>
                <w:szCs w:val="24"/>
                <w:highlight w:val="none"/>
                <w:u w:val="none"/>
              </w:rPr>
              <w:t>t</w:t>
            </w:r>
            <w:r>
              <w:rPr>
                <w:rFonts w:hint="default" w:ascii="Times New Roman" w:hAnsi="Times New Roman" w:cs="Times New Roman"/>
                <w:b w:val="0"/>
                <w:bCs w:val="0"/>
                <w:color w:val="auto"/>
                <w:sz w:val="24"/>
                <w:szCs w:val="24"/>
                <w:highlight w:val="none"/>
                <w:u w:val="none"/>
                <w:vertAlign w:val="subscript"/>
              </w:rPr>
              <w:t>i</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i/>
                <w:color w:val="auto"/>
                <w:sz w:val="24"/>
                <w:szCs w:val="24"/>
                <w:highlight w:val="none"/>
                <w:u w:val="none"/>
              </w:rPr>
              <w:t>i</w:t>
            </w:r>
            <w:r>
              <w:rPr>
                <w:rFonts w:hint="default" w:ascii="Times New Roman" w:hAnsi="Times New Roman" w:cs="Times New Roman"/>
                <w:b w:val="0"/>
                <w:bCs w:val="0"/>
                <w:color w:val="auto"/>
                <w:sz w:val="24"/>
                <w:szCs w:val="24"/>
                <w:highlight w:val="none"/>
                <w:u w:val="none"/>
              </w:rPr>
              <w:t>声源在T时段内的运行时间，s。</w: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0" w:leftChars="0" w:firstLine="460" w:firstLineChars="192"/>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预测点的预测等效声级(L</w:t>
            </w:r>
            <w:r>
              <w:rPr>
                <w:rFonts w:hint="default" w:ascii="Times New Roman" w:hAnsi="Times New Roman" w:cs="Times New Roman"/>
                <w:b w:val="0"/>
                <w:bCs w:val="0"/>
                <w:color w:val="auto"/>
                <w:sz w:val="24"/>
                <w:szCs w:val="24"/>
                <w:highlight w:val="none"/>
                <w:u w:val="none"/>
                <w:vertAlign w:val="subscript"/>
              </w:rPr>
              <w:t>eq</w:t>
            </w:r>
            <w:r>
              <w:rPr>
                <w:rFonts w:hint="default" w:ascii="Times New Roman" w:hAnsi="Times New Roman" w:cs="Times New Roman"/>
                <w:b w:val="0"/>
                <w:bCs w:val="0"/>
                <w:color w:val="auto"/>
                <w:sz w:val="24"/>
                <w:szCs w:val="24"/>
                <w:highlight w:val="none"/>
                <w:u w:val="none"/>
              </w:rPr>
              <w:t xml:space="preserve">)计算公式： </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200"/>
              <w:jc w:val="center"/>
              <w:textAlignment w:val="center"/>
              <w:rPr>
                <w:rFonts w:hint="default" w:ascii="Times New Roman" w:hAnsi="Times New Roman" w:cs="Times New Roman"/>
                <w:b w:val="0"/>
                <w:bCs w:val="0"/>
                <w:color w:val="auto"/>
                <w:kern w:val="0"/>
                <w:sz w:val="24"/>
                <w:szCs w:val="24"/>
                <w:highlight w:val="none"/>
                <w:u w:val="none"/>
              </w:rPr>
            </w:pPr>
            <w:r>
              <w:rPr>
                <w:rFonts w:hint="default" w:ascii="Times New Roman" w:hAnsi="Times New Roman" w:cs="Times New Roman"/>
                <w:b w:val="0"/>
                <w:bCs w:val="0"/>
                <w:color w:val="auto"/>
                <w:position w:val="-10"/>
                <w:sz w:val="24"/>
                <w:szCs w:val="24"/>
                <w:highlight w:val="none"/>
                <w:u w:val="none"/>
              </w:rPr>
              <w:object>
                <v:shape id="_x0000_i1039" o:spt="75" type="#_x0000_t75" style="height:18pt;width:137.3pt;" o:ole="t" filled="f" o:preferrelative="t" stroked="f" coordsize="21600,21600">
                  <v:path/>
                  <v:fill on="f" focussize="0,0"/>
                  <v:stroke on="f"/>
                  <v:imagedata r:id="rId44" o:title=""/>
                  <o:lock v:ext="edit" aspectratio="t"/>
                  <w10:wrap type="none"/>
                  <w10:anchorlock/>
                </v:shape>
                <o:OLEObject Type="Embed" ProgID="Equation.3" ShapeID="_x0000_i1039" DrawAspect="Content" ObjectID="_1468075739" r:id="rId43">
                  <o:LockedField>false</o:LockedField>
                </o:OLEObject>
              </w:object>
            </w:r>
          </w:p>
          <w:p>
            <w:pPr>
              <w:pStyle w:val="87"/>
              <w:keepNext w:val="0"/>
              <w:keepLines w:val="0"/>
              <w:pageBreakBefore w:val="0"/>
              <w:widowControl w:val="0"/>
              <w:kinsoku/>
              <w:wordWrap/>
              <w:overflowPunct/>
              <w:topLinePunct w:val="0"/>
              <w:autoSpaceDE w:val="0"/>
              <w:autoSpaceDN w:val="0"/>
              <w:bidi w:val="0"/>
              <w:adjustRightInd/>
              <w:snapToGrid/>
              <w:spacing w:line="360" w:lineRule="auto"/>
              <w:ind w:left="1680" w:leftChars="0" w:hanging="1680" w:hangingChars="700"/>
              <w:jc w:val="both"/>
              <w:textAlignment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 xml:space="preserve">式中  </w:t>
            </w:r>
            <w:r>
              <w:rPr>
                <w:rFonts w:hint="default" w:ascii="Times New Roman" w:hAnsi="Times New Roman" w:cs="Times New Roman"/>
                <w:b w:val="0"/>
                <w:bCs w:val="0"/>
                <w:i/>
                <w:color w:val="auto"/>
                <w:sz w:val="24"/>
                <w:szCs w:val="24"/>
                <w:highlight w:val="none"/>
                <w:u w:val="none"/>
              </w:rPr>
              <w:t>L</w:t>
            </w:r>
            <w:r>
              <w:rPr>
                <w:rFonts w:hint="default" w:ascii="Times New Roman" w:hAnsi="Times New Roman" w:cs="Times New Roman"/>
                <w:b w:val="0"/>
                <w:bCs w:val="0"/>
                <w:color w:val="auto"/>
                <w:sz w:val="24"/>
                <w:szCs w:val="24"/>
                <w:highlight w:val="none"/>
                <w:u w:val="none"/>
                <w:vertAlign w:val="subscript"/>
              </w:rPr>
              <w:t>eqg</w:t>
            </w:r>
            <w:r>
              <w:rPr>
                <w:rFonts w:hint="default" w:ascii="Times New Roman" w:hAnsi="Times New Roman" w:cs="Times New Roman"/>
                <w:b w:val="0"/>
                <w:bCs w:val="0"/>
                <w:color w:val="auto"/>
                <w:sz w:val="24"/>
                <w:szCs w:val="24"/>
                <w:highlight w:val="none"/>
                <w:u w:val="none"/>
              </w:rPr>
              <w:t>——</w:t>
            </w:r>
            <w:r>
              <w:rPr>
                <w:rFonts w:hint="default" w:ascii="Times New Roman" w:hAnsi="Times New Roman" w:eastAsia="宋体" w:cs="Times New Roman"/>
                <w:b w:val="0"/>
                <w:bCs w:val="0"/>
                <w:color w:val="auto"/>
                <w:spacing w:val="0"/>
                <w:kern w:val="2"/>
                <w:sz w:val="24"/>
                <w:szCs w:val="24"/>
                <w:highlight w:val="none"/>
                <w:u w:val="none"/>
                <w:lang w:val="en-US" w:eastAsia="zh-CN" w:bidi="ar-SA"/>
              </w:rPr>
              <w:t>建设项目声源在预测点的等效声级贡献值，dB(A)</w:t>
            </w:r>
            <w:r>
              <w:rPr>
                <w:rFonts w:hint="default" w:ascii="Times New Roman" w:hAnsi="Times New Roman" w:cs="Times New Roman"/>
                <w:b w:val="0"/>
                <w:bCs w:val="0"/>
                <w:color w:val="auto"/>
                <w:sz w:val="24"/>
                <w:szCs w:val="24"/>
                <w:highlight w:val="none"/>
                <w:u w:val="none"/>
              </w:rPr>
              <w:t xml:space="preserve">； </w:t>
            </w:r>
          </w:p>
          <w:p>
            <w:pPr>
              <w:pStyle w:val="45"/>
              <w:keepNext w:val="0"/>
              <w:keepLines w:val="0"/>
              <w:pageBreakBefore w:val="0"/>
              <w:widowControl w:val="0"/>
              <w:kinsoku/>
              <w:wordWrap/>
              <w:overflowPunct/>
              <w:topLinePunct w:val="0"/>
              <w:bidi w:val="0"/>
              <w:adjustRightInd/>
              <w:snapToGrid/>
              <w:spacing w:line="360" w:lineRule="auto"/>
              <w:ind w:left="0" w:leftChars="0" w:firstLine="480"/>
              <w:rPr>
                <w:rFonts w:hint="default" w:ascii="Times New Roman" w:hAnsi="Times New Roman" w:cs="Times New Roman"/>
                <w:b w:val="0"/>
                <w:bCs w:val="0"/>
                <w:color w:val="auto"/>
                <w:spacing w:val="0"/>
                <w:sz w:val="24"/>
                <w:szCs w:val="24"/>
                <w:highlight w:val="none"/>
                <w:u w:val="none"/>
              </w:rPr>
            </w:pPr>
            <w:r>
              <w:rPr>
                <w:rFonts w:hint="default" w:ascii="Times New Roman" w:hAnsi="Times New Roman" w:cs="Times New Roman"/>
                <w:b w:val="0"/>
                <w:bCs w:val="0"/>
                <w:color w:val="auto"/>
                <w:spacing w:val="0"/>
                <w:sz w:val="24"/>
                <w:szCs w:val="24"/>
                <w:highlight w:val="none"/>
                <w:u w:val="none"/>
              </w:rPr>
              <w:t>L</w:t>
            </w:r>
            <w:r>
              <w:rPr>
                <w:rFonts w:hint="default" w:ascii="Times New Roman" w:hAnsi="Times New Roman" w:cs="Times New Roman"/>
                <w:b w:val="0"/>
                <w:bCs w:val="0"/>
                <w:color w:val="auto"/>
                <w:spacing w:val="0"/>
                <w:sz w:val="24"/>
                <w:szCs w:val="24"/>
                <w:highlight w:val="none"/>
                <w:u w:val="none"/>
                <w:vertAlign w:val="subscript"/>
              </w:rPr>
              <w:t>eqb</w:t>
            </w:r>
            <w:r>
              <w:rPr>
                <w:rFonts w:hint="default" w:ascii="Times New Roman" w:hAnsi="Times New Roman" w:cs="Times New Roman"/>
                <w:b w:val="0"/>
                <w:bCs w:val="0"/>
                <w:color w:val="auto"/>
                <w:spacing w:val="0"/>
                <w:sz w:val="24"/>
                <w:szCs w:val="24"/>
                <w:highlight w:val="none"/>
                <w:u w:val="none"/>
              </w:rPr>
              <w:t>——预测点的背景值，dB(A)。</w:t>
            </w:r>
          </w:p>
          <w:p>
            <w:pPr>
              <w:pStyle w:val="88"/>
              <w:autoSpaceDE w:val="0"/>
              <w:autoSpaceDN w:val="0"/>
              <w:spacing w:line="360" w:lineRule="auto"/>
              <w:ind w:firstLine="480" w:firstLineChars="200"/>
              <w:jc w:val="both"/>
              <w:textAlignment w:val="bottom"/>
              <w:rPr>
                <w:rFonts w:hint="default" w:ascii="Times New Roman" w:hAnsi="Times New Roman" w:cs="Times New Roman"/>
                <w:b w:val="0"/>
                <w:bCs w:val="0"/>
                <w:color w:val="auto"/>
                <w:kern w:val="2"/>
                <w:sz w:val="24"/>
                <w:szCs w:val="24"/>
                <w:highlight w:val="none"/>
                <w:u w:val="none"/>
              </w:rPr>
            </w:pPr>
            <w:r>
              <w:rPr>
                <w:rFonts w:hint="default" w:ascii="Times New Roman" w:hAnsi="Times New Roman" w:cs="Times New Roman"/>
                <w:b w:val="0"/>
                <w:bCs w:val="0"/>
                <w:color w:val="auto"/>
                <w:kern w:val="2"/>
                <w:sz w:val="24"/>
                <w:szCs w:val="24"/>
                <w:highlight w:val="none"/>
                <w:u w:val="none"/>
                <w:lang w:val="en-US" w:eastAsia="zh-CN"/>
              </w:rPr>
              <w:t>（4）</w:t>
            </w:r>
            <w:r>
              <w:rPr>
                <w:rFonts w:hint="default" w:ascii="Times New Roman" w:hAnsi="Times New Roman" w:cs="Times New Roman"/>
                <w:b w:val="0"/>
                <w:bCs w:val="0"/>
                <w:color w:val="auto"/>
                <w:kern w:val="2"/>
                <w:sz w:val="24"/>
                <w:szCs w:val="24"/>
                <w:highlight w:val="none"/>
                <w:u w:val="none"/>
              </w:rPr>
              <w:t>预测结果</w:t>
            </w:r>
          </w:p>
          <w:p>
            <w:pPr>
              <w:spacing w:line="360" w:lineRule="auto"/>
              <w:ind w:firstLine="480" w:firstLineChars="200"/>
              <w:jc w:val="both"/>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噪声预测采用网格布点法，建立直角坐标系，厂界噪声预测结果见表</w:t>
            </w:r>
            <w:r>
              <w:rPr>
                <w:rFonts w:hint="default" w:ascii="Times New Roman" w:hAnsi="Times New Roman" w:cs="Times New Roman"/>
                <w:b w:val="0"/>
                <w:bCs w:val="0"/>
                <w:color w:val="auto"/>
                <w:sz w:val="24"/>
                <w:szCs w:val="24"/>
                <w:highlight w:val="none"/>
                <w:u w:val="none"/>
                <w:lang w:val="en-US" w:eastAsia="zh-CN"/>
              </w:rPr>
              <w:t>4-1</w:t>
            </w:r>
            <w:r>
              <w:rPr>
                <w:rFonts w:hint="eastAsia" w:cs="Times New Roman"/>
                <w:b w:val="0"/>
                <w:bCs w:val="0"/>
                <w:color w:val="auto"/>
                <w:sz w:val="24"/>
                <w:szCs w:val="24"/>
                <w:highlight w:val="none"/>
                <w:u w:val="none"/>
                <w:lang w:val="en-US" w:eastAsia="zh-CN"/>
              </w:rPr>
              <w:t>0、4-11</w:t>
            </w:r>
            <w:r>
              <w:rPr>
                <w:rFonts w:hint="default"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rPr>
              <w:t>由表</w:t>
            </w:r>
            <w:r>
              <w:rPr>
                <w:rFonts w:hint="default" w:ascii="Times New Roman" w:hAnsi="Times New Roman" w:cs="Times New Roman"/>
                <w:b w:val="0"/>
                <w:bCs w:val="0"/>
                <w:color w:val="auto"/>
                <w:sz w:val="24"/>
                <w:szCs w:val="24"/>
                <w:highlight w:val="none"/>
                <w:u w:val="none"/>
                <w:lang w:val="en-US" w:eastAsia="zh-CN"/>
              </w:rPr>
              <w:t>4-1</w:t>
            </w:r>
            <w:r>
              <w:rPr>
                <w:rFonts w:hint="eastAsia" w:cs="Times New Roman"/>
                <w:b w:val="0"/>
                <w:bCs w:val="0"/>
                <w:color w:val="auto"/>
                <w:sz w:val="24"/>
                <w:szCs w:val="24"/>
                <w:highlight w:val="none"/>
                <w:u w:val="none"/>
                <w:lang w:val="en-US" w:eastAsia="zh-CN"/>
              </w:rPr>
              <w:t>0、4-11</w:t>
            </w:r>
            <w:r>
              <w:rPr>
                <w:rFonts w:hint="default" w:ascii="Times New Roman" w:hAnsi="Times New Roman" w:cs="Times New Roman"/>
                <w:b w:val="0"/>
                <w:bCs w:val="0"/>
                <w:color w:val="auto"/>
                <w:sz w:val="24"/>
                <w:szCs w:val="24"/>
                <w:highlight w:val="none"/>
                <w:u w:val="none"/>
              </w:rPr>
              <w:t>可知，厂界</w:t>
            </w:r>
            <w:r>
              <w:rPr>
                <w:rFonts w:hint="default" w:ascii="Times New Roman" w:hAnsi="Times New Roman" w:cs="Times New Roman"/>
                <w:b w:val="0"/>
                <w:bCs w:val="0"/>
                <w:color w:val="auto"/>
                <w:sz w:val="24"/>
                <w:szCs w:val="24"/>
                <w:highlight w:val="none"/>
                <w:u w:val="none"/>
                <w:lang w:val="en-US" w:eastAsia="zh-CN"/>
              </w:rPr>
              <w:t>昼间、</w:t>
            </w:r>
            <w:r>
              <w:rPr>
                <w:rFonts w:hint="default" w:ascii="Times New Roman" w:hAnsi="Times New Roman" w:cs="Times New Roman"/>
                <w:b w:val="0"/>
                <w:bCs w:val="0"/>
                <w:color w:val="auto"/>
                <w:sz w:val="24"/>
                <w:szCs w:val="24"/>
                <w:highlight w:val="none"/>
                <w:u w:val="none"/>
              </w:rPr>
              <w:t>夜间噪声</w:t>
            </w:r>
            <w:r>
              <w:rPr>
                <w:rFonts w:hint="default" w:ascii="Times New Roman" w:hAnsi="Times New Roman" w:cs="Times New Roman"/>
                <w:b w:val="0"/>
                <w:bCs w:val="0"/>
                <w:color w:val="auto"/>
                <w:sz w:val="24"/>
                <w:szCs w:val="24"/>
                <w:highlight w:val="none"/>
                <w:u w:val="none"/>
                <w:lang w:val="en-US" w:eastAsia="zh-CN"/>
              </w:rPr>
              <w:t>贡献值</w:t>
            </w:r>
            <w:r>
              <w:rPr>
                <w:rFonts w:hint="default" w:ascii="Times New Roman" w:hAnsi="Times New Roman" w:cs="Times New Roman"/>
                <w:b w:val="0"/>
                <w:bCs w:val="0"/>
                <w:color w:val="auto"/>
                <w:sz w:val="24"/>
                <w:szCs w:val="24"/>
                <w:highlight w:val="none"/>
                <w:u w:val="none"/>
              </w:rPr>
              <w:t>满足《工业企业厂界环境噪声排放标准》（GB12348-2008）要求。</w:t>
            </w:r>
            <w:r>
              <w:rPr>
                <w:rFonts w:hint="eastAsia" w:ascii="Times New Roman" w:hAnsi="Times New Roman" w:cs="Times New Roman"/>
                <w:b w:val="0"/>
                <w:bCs w:val="0"/>
                <w:color w:val="auto"/>
                <w:sz w:val="24"/>
                <w:szCs w:val="24"/>
                <w:highlight w:val="none"/>
                <w:u w:val="none"/>
                <w:lang w:val="en-US" w:eastAsia="zh-CN"/>
              </w:rPr>
              <w:t>环境保护目标</w:t>
            </w:r>
            <w:r>
              <w:rPr>
                <w:rFonts w:hint="default" w:ascii="Times New Roman" w:hAnsi="Times New Roman" w:cs="Times New Roman"/>
                <w:b w:val="0"/>
                <w:bCs w:val="0"/>
                <w:color w:val="auto"/>
                <w:sz w:val="24"/>
                <w:szCs w:val="24"/>
                <w:highlight w:val="none"/>
                <w:u w:val="none"/>
                <w:lang w:val="en-US" w:eastAsia="zh-CN"/>
              </w:rPr>
              <w:t>噪声预测值满足《声环境质量标准》（GB3096-2008）中2类标准要求</w:t>
            </w:r>
            <w:r>
              <w:rPr>
                <w:rFonts w:hint="eastAsia" w:cs="Times New Roman"/>
                <w:b w:val="0"/>
                <w:bCs w:val="0"/>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eastAsiaTheme="minorEastAsia"/>
                <w:b/>
                <w:bCs/>
                <w:color w:val="auto"/>
                <w:kern w:val="2"/>
                <w:sz w:val="21"/>
                <w:szCs w:val="24"/>
                <w:lang w:val="en-US" w:eastAsia="zh-CN" w:bidi="ar-SA"/>
              </w:rPr>
            </w:pPr>
            <w:r>
              <w:rPr>
                <w:rFonts w:hint="default" w:ascii="Times New Roman" w:hAnsi="Times New Roman" w:cs="Times New Roman" w:eastAsiaTheme="minorEastAsia"/>
                <w:b/>
                <w:bCs/>
                <w:color w:val="auto"/>
                <w:kern w:val="2"/>
                <w:sz w:val="21"/>
                <w:szCs w:val="24"/>
                <w:lang w:val="en-US" w:eastAsia="zh-CN" w:bidi="ar-SA"/>
              </w:rPr>
              <w:t>表4-1</w:t>
            </w:r>
            <w:r>
              <w:rPr>
                <w:rFonts w:hint="eastAsia" w:ascii="Times New Roman" w:hAnsi="Times New Roman" w:cs="Times New Roman" w:eastAsiaTheme="minorEastAsia"/>
                <w:b/>
                <w:bCs/>
                <w:color w:val="auto"/>
                <w:kern w:val="2"/>
                <w:sz w:val="21"/>
                <w:szCs w:val="24"/>
                <w:lang w:val="en-US" w:eastAsia="zh-CN" w:bidi="ar-SA"/>
              </w:rPr>
              <w:t>0</w:t>
            </w:r>
            <w:r>
              <w:rPr>
                <w:rFonts w:hint="default" w:ascii="Times New Roman" w:hAnsi="Times New Roman" w:cs="Times New Roman" w:eastAsiaTheme="minorEastAsia"/>
                <w:b/>
                <w:bCs/>
                <w:color w:val="auto"/>
                <w:kern w:val="2"/>
                <w:sz w:val="21"/>
                <w:szCs w:val="24"/>
                <w:lang w:val="en-US" w:eastAsia="zh-CN" w:bidi="ar-SA"/>
              </w:rPr>
              <w:t xml:space="preserve"> 厂界噪声预测结果一览表 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224"/>
              <w:gridCol w:w="1962"/>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点位</w:t>
                  </w:r>
                </w:p>
              </w:tc>
              <w:tc>
                <w:tcPr>
                  <w:tcW w:w="2526" w:type="pct"/>
                  <w:gridSpan w:val="2"/>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贡献值</w:t>
                  </w:r>
                </w:p>
              </w:tc>
              <w:tc>
                <w:tcPr>
                  <w:tcW w:w="1619"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p>
              </w:tc>
              <w:tc>
                <w:tcPr>
                  <w:tcW w:w="1342"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昼间</w:t>
                  </w:r>
                </w:p>
              </w:tc>
              <w:tc>
                <w:tcPr>
                  <w:tcW w:w="118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夜间</w:t>
                  </w:r>
                </w:p>
              </w:tc>
              <w:tc>
                <w:tcPr>
                  <w:tcW w:w="161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kern w:val="0"/>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noWrap w:val="0"/>
                  <w:vAlign w:val="center"/>
                </w:tcPr>
                <w:p>
                  <w:pPr>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sz w:val="21"/>
                      <w:szCs w:val="21"/>
                    </w:rPr>
                    <w:t>厂界东侧</w:t>
                  </w:r>
                </w:p>
              </w:tc>
              <w:tc>
                <w:tcPr>
                  <w:tcW w:w="1342"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w:t>
                  </w:r>
                  <w:r>
                    <w:rPr>
                      <w:rFonts w:hint="eastAsia" w:cs="Times New Roman"/>
                      <w:color w:val="auto"/>
                      <w:sz w:val="21"/>
                      <w:szCs w:val="21"/>
                      <w:lang w:val="en-US" w:eastAsia="zh-CN"/>
                    </w:rPr>
                    <w:t>6.0</w:t>
                  </w:r>
                </w:p>
              </w:tc>
              <w:tc>
                <w:tcPr>
                  <w:tcW w:w="1184"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w:t>
                  </w:r>
                  <w:r>
                    <w:rPr>
                      <w:rFonts w:hint="eastAsia" w:cs="Times New Roman"/>
                      <w:color w:val="auto"/>
                      <w:sz w:val="21"/>
                      <w:szCs w:val="21"/>
                      <w:lang w:val="en-US" w:eastAsia="zh-CN"/>
                    </w:rPr>
                    <w:t>6.0</w:t>
                  </w:r>
                </w:p>
              </w:tc>
              <w:tc>
                <w:tcPr>
                  <w:tcW w:w="1619"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rPr>
                    <w:t>《工业企业厂界环境噪声排放标准》（GB12348-2008）</w:t>
                  </w:r>
                  <w:r>
                    <w:rPr>
                      <w:rFonts w:hint="default" w:ascii="Times New Roman" w:hAnsi="Times New Roman" w:cs="Times New Roman"/>
                      <w:color w:val="auto"/>
                      <w:sz w:val="21"/>
                      <w:szCs w:val="21"/>
                      <w:highlight w:val="none"/>
                      <w:u w:val="none"/>
                      <w:lang w:val="en-US" w:eastAsia="zh-CN"/>
                    </w:rPr>
                    <w:t>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3" w:type="pct"/>
                  <w:tcBorders>
                    <w:tl2br w:val="nil"/>
                    <w:tr2bl w:val="nil"/>
                  </w:tcBorders>
                  <w:noWrap w:val="0"/>
                  <w:vAlign w:val="center"/>
                </w:tcPr>
                <w:p>
                  <w:pPr>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sz w:val="21"/>
                      <w:szCs w:val="21"/>
                    </w:rPr>
                    <w:t>厂界南侧</w:t>
                  </w:r>
                </w:p>
              </w:tc>
              <w:tc>
                <w:tcPr>
                  <w:tcW w:w="1342"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33.4</w:t>
                  </w:r>
                </w:p>
              </w:tc>
              <w:tc>
                <w:tcPr>
                  <w:tcW w:w="1184"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33.4</w:t>
                  </w:r>
                </w:p>
              </w:tc>
              <w:tc>
                <w:tcPr>
                  <w:tcW w:w="161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3" w:type="pct"/>
                  <w:tcBorders>
                    <w:tl2br w:val="nil"/>
                    <w:tr2bl w:val="nil"/>
                  </w:tcBorders>
                  <w:noWrap w:val="0"/>
                  <w:vAlign w:val="center"/>
                </w:tcPr>
                <w:p>
                  <w:pPr>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sz w:val="21"/>
                      <w:szCs w:val="21"/>
                    </w:rPr>
                    <w:t>厂界西侧</w:t>
                  </w:r>
                </w:p>
              </w:tc>
              <w:tc>
                <w:tcPr>
                  <w:tcW w:w="1342"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32.9</w:t>
                  </w:r>
                </w:p>
              </w:tc>
              <w:tc>
                <w:tcPr>
                  <w:tcW w:w="1184"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32.9</w:t>
                  </w:r>
                </w:p>
              </w:tc>
              <w:tc>
                <w:tcPr>
                  <w:tcW w:w="161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pct"/>
                  <w:tcBorders>
                    <w:tl2br w:val="nil"/>
                    <w:tr2bl w:val="nil"/>
                  </w:tcBorders>
                  <w:noWrap w:val="0"/>
                  <w:vAlign w:val="center"/>
                </w:tcPr>
                <w:p>
                  <w:pPr>
                    <w:jc w:val="center"/>
                    <w:rPr>
                      <w:rFonts w:hint="default" w:ascii="Times New Roman" w:hAnsi="Times New Roman" w:cs="Times New Roman"/>
                      <w:color w:val="auto"/>
                      <w:sz w:val="21"/>
                      <w:szCs w:val="21"/>
                      <w:highlight w:val="none"/>
                      <w:u w:val="none"/>
                    </w:rPr>
                  </w:pPr>
                  <w:r>
                    <w:rPr>
                      <w:rFonts w:hint="default" w:ascii="Times New Roman" w:hAnsi="Times New Roman" w:cs="Times New Roman"/>
                      <w:sz w:val="21"/>
                      <w:szCs w:val="21"/>
                    </w:rPr>
                    <w:t>厂界北侧</w:t>
                  </w:r>
                </w:p>
              </w:tc>
              <w:tc>
                <w:tcPr>
                  <w:tcW w:w="1342"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35.4</w:t>
                  </w:r>
                </w:p>
              </w:tc>
              <w:tc>
                <w:tcPr>
                  <w:tcW w:w="1184" w:type="pct"/>
                  <w:tcBorders>
                    <w:tl2br w:val="nil"/>
                    <w:tr2bl w:val="nil"/>
                  </w:tcBorders>
                  <w:noWrap w:val="0"/>
                  <w:vAlign w:val="center"/>
                </w:tcPr>
                <w:p>
                  <w:pPr>
                    <w:ind w:left="-42" w:leftChars="-20" w:right="-42" w:rightChars="-2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35.4</w:t>
                  </w:r>
                </w:p>
              </w:tc>
              <w:tc>
                <w:tcPr>
                  <w:tcW w:w="161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after="0" w:afterLines="0" w:line="240" w:lineRule="auto"/>
                    <w:ind w:left="0" w:leftChars="0"/>
                    <w:jc w:val="center"/>
                    <w:textAlignment w:val="auto"/>
                    <w:outlineLvl w:val="9"/>
                    <w:rPr>
                      <w:rFonts w:hint="default" w:ascii="Times New Roman" w:hAnsi="Times New Roman" w:cs="Times New Roman"/>
                      <w:color w:val="auto"/>
                      <w:sz w:val="21"/>
                      <w:szCs w:val="21"/>
                      <w:highlight w:val="none"/>
                      <w:u w:val="none"/>
                    </w:rPr>
                  </w:pPr>
                </w:p>
              </w:tc>
            </w:tr>
          </w:tbl>
          <w:p>
            <w:pPr>
              <w:pStyle w:val="68"/>
              <w:spacing w:line="240" w:lineRule="auto"/>
              <w:rPr>
                <w:rFonts w:hint="default" w:ascii="Times New Roman" w:hAnsi="Times New Roman" w:cs="Times New Roman" w:eastAsiaTheme="minorEastAsia"/>
                <w:b/>
                <w:bCs/>
                <w:color w:val="auto"/>
                <w:sz w:val="21"/>
                <w:szCs w:val="24"/>
                <w:lang w:val="en-US" w:eastAsia="zh-CN"/>
              </w:rPr>
            </w:pP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表4-1</w:t>
            </w:r>
            <w:r>
              <w:rPr>
                <w:rFonts w:hint="eastAsia" w:ascii="Times New Roman" w:hAnsi="Times New Roman" w:cs="Times New Roman" w:eastAsiaTheme="minorEastAsia"/>
                <w:b/>
                <w:bCs/>
                <w:color w:val="auto"/>
                <w:sz w:val="21"/>
                <w:szCs w:val="24"/>
                <w:lang w:val="en-US" w:eastAsia="zh-CN"/>
              </w:rPr>
              <w:t xml:space="preserve">1 </w:t>
            </w:r>
            <w:r>
              <w:rPr>
                <w:rFonts w:hint="default" w:ascii="Times New Roman" w:hAnsi="Times New Roman" w:cs="Times New Roman" w:eastAsiaTheme="minorEastAsia"/>
                <w:b/>
                <w:bCs/>
                <w:color w:val="auto"/>
                <w:sz w:val="21"/>
                <w:szCs w:val="24"/>
                <w:lang w:val="en-US" w:eastAsia="zh-CN"/>
              </w:rPr>
              <w:t xml:space="preserve"> </w:t>
            </w:r>
            <w:r>
              <w:rPr>
                <w:rFonts w:hint="eastAsia" w:ascii="Times New Roman" w:hAnsi="Times New Roman" w:cs="Times New Roman" w:eastAsiaTheme="minorEastAsia"/>
                <w:b/>
                <w:bCs/>
                <w:color w:val="auto"/>
                <w:sz w:val="21"/>
                <w:szCs w:val="24"/>
                <w:lang w:val="en-US" w:eastAsia="zh-CN"/>
              </w:rPr>
              <w:t>环境保护目标</w:t>
            </w:r>
            <w:r>
              <w:rPr>
                <w:rFonts w:hint="default" w:ascii="Times New Roman" w:hAnsi="Times New Roman" w:cs="Times New Roman" w:eastAsiaTheme="minorEastAsia"/>
                <w:b/>
                <w:bCs/>
                <w:color w:val="auto"/>
                <w:sz w:val="21"/>
                <w:szCs w:val="24"/>
                <w:lang w:val="en-US" w:eastAsia="zh-CN"/>
              </w:rPr>
              <w:t>噪声预测结果一览表 单位：dB(A)</w:t>
            </w:r>
          </w:p>
          <w:tbl>
            <w:tblPr>
              <w:tblStyle w:val="32"/>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972"/>
              <w:gridCol w:w="923"/>
              <w:gridCol w:w="749"/>
              <w:gridCol w:w="978"/>
              <w:gridCol w:w="850"/>
              <w:gridCol w:w="979"/>
              <w:gridCol w:w="888"/>
              <w:gridCol w:w="1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113" w:hRule="atLeast"/>
                <w:jc w:val="center"/>
              </w:trPr>
              <w:tc>
                <w:tcPr>
                  <w:tcW w:w="587" w:type="pct"/>
                  <w:vMerge w:val="restar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预测点</w:t>
                  </w:r>
                </w:p>
              </w:tc>
              <w:tc>
                <w:tcPr>
                  <w:tcW w:w="1009" w:type="pct"/>
                  <w:gridSpan w:val="2"/>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背景值</w:t>
                  </w:r>
                </w:p>
              </w:tc>
              <w:tc>
                <w:tcPr>
                  <w:tcW w:w="1103" w:type="pct"/>
                  <w:gridSpan w:val="2"/>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贡献值</w:t>
                  </w:r>
                </w:p>
              </w:tc>
              <w:tc>
                <w:tcPr>
                  <w:tcW w:w="1127" w:type="pct"/>
                  <w:gridSpan w:val="2"/>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预测值</w:t>
                  </w:r>
                </w:p>
              </w:tc>
              <w:tc>
                <w:tcPr>
                  <w:tcW w:w="1171" w:type="pct"/>
                  <w:vMerge w:val="restar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评价结果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113" w:hRule="atLeast"/>
                <w:jc w:val="center"/>
              </w:trPr>
              <w:tc>
                <w:tcPr>
                  <w:tcW w:w="587" w:type="pct"/>
                  <w:vMerge w:val="continue"/>
                  <w:tcBorders>
                    <w:tl2br w:val="nil"/>
                    <w:tr2bl w:val="nil"/>
                  </w:tcBorders>
                  <w:vAlign w:val="center"/>
                </w:tcPr>
                <w:p>
                  <w:pPr>
                    <w:jc w:val="center"/>
                    <w:rPr>
                      <w:rFonts w:hint="default" w:ascii="Times New Roman" w:hAnsi="Times New Roman" w:cs="Times New Roman"/>
                      <w:snapToGrid w:val="0"/>
                      <w:kern w:val="0"/>
                      <w:sz w:val="21"/>
                      <w:szCs w:val="21"/>
                    </w:rPr>
                  </w:pPr>
                </w:p>
              </w:tc>
              <w:tc>
                <w:tcPr>
                  <w:tcW w:w="557"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昼间</w:t>
                  </w:r>
                </w:p>
              </w:tc>
              <w:tc>
                <w:tcPr>
                  <w:tcW w:w="452"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夜间</w:t>
                  </w:r>
                </w:p>
              </w:tc>
              <w:tc>
                <w:tcPr>
                  <w:tcW w:w="590"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昼间</w:t>
                  </w:r>
                </w:p>
              </w:tc>
              <w:tc>
                <w:tcPr>
                  <w:tcW w:w="513"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夜间</w:t>
                  </w:r>
                </w:p>
              </w:tc>
              <w:tc>
                <w:tcPr>
                  <w:tcW w:w="591"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昼间</w:t>
                  </w:r>
                </w:p>
              </w:tc>
              <w:tc>
                <w:tcPr>
                  <w:tcW w:w="536" w:type="pc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夜间</w:t>
                  </w:r>
                </w:p>
              </w:tc>
              <w:tc>
                <w:tcPr>
                  <w:tcW w:w="1171" w:type="pct"/>
                  <w:vMerge w:val="continue"/>
                  <w:tcBorders>
                    <w:tl2br w:val="nil"/>
                    <w:tr2bl w:val="nil"/>
                  </w:tcBorders>
                  <w:vAlign w:val="center"/>
                </w:tcPr>
                <w:p>
                  <w:pPr>
                    <w:jc w:val="center"/>
                    <w:rPr>
                      <w:rFonts w:hint="default" w:ascii="Times New Roman" w:hAnsi="Times New Roman" w:cs="Times New Roman"/>
                      <w:snapToGrid w:val="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230" w:hRule="atLeast"/>
                <w:jc w:val="center"/>
              </w:trPr>
              <w:tc>
                <w:tcPr>
                  <w:tcW w:w="587" w:type="pct"/>
                  <w:tcBorders>
                    <w:tl2br w:val="nil"/>
                    <w:tr2bl w:val="nil"/>
                  </w:tcBorders>
                  <w:vAlign w:val="center"/>
                </w:tcPr>
                <w:p>
                  <w:pPr>
                    <w:jc w:val="both"/>
                    <w:rPr>
                      <w:rFonts w:hint="default" w:ascii="Times New Roman" w:hAnsi="Times New Roman" w:cs="Times New Roman"/>
                      <w:sz w:val="21"/>
                      <w:szCs w:val="21"/>
                      <w:lang w:eastAsia="zh-CN"/>
                    </w:rPr>
                  </w:pPr>
                  <w:r>
                    <w:rPr>
                      <w:rFonts w:hint="eastAsia" w:ascii="Times New Roman" w:hAnsi="Times New Roman" w:cs="Times New Roman"/>
                      <w:sz w:val="21"/>
                      <w:szCs w:val="21"/>
                    </w:rPr>
                    <w:t>八家子村（厂区东侧）</w:t>
                  </w:r>
                </w:p>
              </w:tc>
              <w:tc>
                <w:tcPr>
                  <w:tcW w:w="557"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54</w:t>
                  </w:r>
                </w:p>
              </w:tc>
              <w:tc>
                <w:tcPr>
                  <w:tcW w:w="452"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44</w:t>
                  </w:r>
                </w:p>
              </w:tc>
              <w:tc>
                <w:tcPr>
                  <w:tcW w:w="590"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513"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35.0</w:t>
                  </w:r>
                </w:p>
              </w:tc>
              <w:tc>
                <w:tcPr>
                  <w:tcW w:w="59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54.1</w:t>
                  </w:r>
                </w:p>
              </w:tc>
              <w:tc>
                <w:tcPr>
                  <w:tcW w:w="536"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44.5</w:t>
                  </w:r>
                </w:p>
              </w:tc>
              <w:tc>
                <w:tcPr>
                  <w:tcW w:w="1171" w:type="pct"/>
                  <w:vMerge w:val="restart"/>
                  <w:tcBorders>
                    <w:tl2br w:val="nil"/>
                    <w:tr2bl w:val="nil"/>
                  </w:tcBorders>
                  <w:vAlign w:val="center"/>
                </w:tcPr>
                <w:p>
                  <w:pPr>
                    <w:jc w:val="center"/>
                    <w:rPr>
                      <w:rFonts w:hint="default" w:ascii="Times New Roman" w:hAnsi="Times New Roman" w:cs="Times New Roman"/>
                      <w:snapToGrid w:val="0"/>
                      <w:kern w:val="0"/>
                      <w:sz w:val="21"/>
                      <w:szCs w:val="21"/>
                    </w:rPr>
                  </w:pPr>
                  <w:r>
                    <w:rPr>
                      <w:rFonts w:hint="default" w:ascii="Times New Roman" w:hAnsi="Times New Roman" w:cs="Times New Roman"/>
                      <w:snapToGrid w:val="0"/>
                      <w:kern w:val="0"/>
                      <w:sz w:val="21"/>
                      <w:szCs w:val="21"/>
                    </w:rPr>
                    <w:t>符合《声环境质量标准》（GB3096-2008）中2类标准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230" w:hRule="atLeast"/>
                <w:jc w:val="center"/>
              </w:trPr>
              <w:tc>
                <w:tcPr>
                  <w:tcW w:w="587" w:type="pct"/>
                  <w:tcBorders>
                    <w:tl2br w:val="nil"/>
                    <w:tr2bl w:val="nil"/>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rPr>
                    <w:t>八家子村（厂区南侧）</w:t>
                  </w:r>
                </w:p>
              </w:tc>
              <w:tc>
                <w:tcPr>
                  <w:tcW w:w="557"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55</w:t>
                  </w:r>
                </w:p>
              </w:tc>
              <w:tc>
                <w:tcPr>
                  <w:tcW w:w="452"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44</w:t>
                  </w:r>
                </w:p>
              </w:tc>
              <w:tc>
                <w:tcPr>
                  <w:tcW w:w="590"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36.4</w:t>
                  </w:r>
                </w:p>
              </w:tc>
              <w:tc>
                <w:tcPr>
                  <w:tcW w:w="513"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36.4</w:t>
                  </w:r>
                </w:p>
              </w:tc>
              <w:tc>
                <w:tcPr>
                  <w:tcW w:w="59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w:t>
                  </w:r>
                </w:p>
              </w:tc>
              <w:tc>
                <w:tcPr>
                  <w:tcW w:w="536"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44.7</w:t>
                  </w:r>
                </w:p>
              </w:tc>
              <w:tc>
                <w:tcPr>
                  <w:tcW w:w="1171" w:type="pct"/>
                  <w:vMerge w:val="continue"/>
                  <w:tcBorders>
                    <w:tl2br w:val="nil"/>
                    <w:tr2bl w:val="nil"/>
                  </w:tcBorders>
                  <w:vAlign w:val="center"/>
                </w:tcPr>
                <w:p>
                  <w:pPr>
                    <w:jc w:val="center"/>
                    <w:rPr>
                      <w:rFonts w:hint="default" w:ascii="Times New Roman" w:hAnsi="Times New Roman" w:cs="Times New Roman"/>
                      <w:snapToGrid w:val="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230" w:hRule="atLeast"/>
                <w:jc w:val="center"/>
              </w:trPr>
              <w:tc>
                <w:tcPr>
                  <w:tcW w:w="587" w:type="pct"/>
                  <w:tcBorders>
                    <w:tl2br w:val="nil"/>
                    <w:tr2bl w:val="nil"/>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rPr>
                    <w:t>八家子村（厂区西侧）</w:t>
                  </w:r>
                </w:p>
              </w:tc>
              <w:tc>
                <w:tcPr>
                  <w:tcW w:w="557"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53</w:t>
                  </w:r>
                </w:p>
              </w:tc>
              <w:tc>
                <w:tcPr>
                  <w:tcW w:w="452"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43</w:t>
                  </w:r>
                </w:p>
              </w:tc>
              <w:tc>
                <w:tcPr>
                  <w:tcW w:w="590"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32.1</w:t>
                  </w:r>
                </w:p>
              </w:tc>
              <w:tc>
                <w:tcPr>
                  <w:tcW w:w="513"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32.1</w:t>
                  </w:r>
                </w:p>
              </w:tc>
              <w:tc>
                <w:tcPr>
                  <w:tcW w:w="59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53.0</w:t>
                  </w:r>
                </w:p>
              </w:tc>
              <w:tc>
                <w:tcPr>
                  <w:tcW w:w="536"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43.3</w:t>
                  </w:r>
                </w:p>
              </w:tc>
              <w:tc>
                <w:tcPr>
                  <w:tcW w:w="1171" w:type="pct"/>
                  <w:vMerge w:val="continue"/>
                  <w:tcBorders>
                    <w:tl2br w:val="nil"/>
                    <w:tr2bl w:val="nil"/>
                  </w:tcBorders>
                  <w:vAlign w:val="center"/>
                </w:tcPr>
                <w:p>
                  <w:pPr>
                    <w:jc w:val="center"/>
                    <w:rPr>
                      <w:rFonts w:hint="default" w:ascii="Times New Roman" w:hAnsi="Times New Roman" w:cs="Times New Roman"/>
                      <w:snapToGrid w:val="0"/>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230" w:hRule="atLeast"/>
                <w:jc w:val="center"/>
              </w:trPr>
              <w:tc>
                <w:tcPr>
                  <w:tcW w:w="587" w:type="pct"/>
                  <w:tcBorders>
                    <w:tl2br w:val="nil"/>
                    <w:tr2bl w:val="nil"/>
                  </w:tcBorders>
                  <w:vAlign w:val="center"/>
                </w:tcPr>
                <w:p>
                  <w:pPr>
                    <w:jc w:val="center"/>
                    <w:rPr>
                      <w:rFonts w:hint="default" w:ascii="Times New Roman" w:hAnsi="Times New Roman" w:cs="Times New Roman"/>
                      <w:sz w:val="21"/>
                      <w:szCs w:val="21"/>
                      <w:lang w:eastAsia="zh-CN"/>
                    </w:rPr>
                  </w:pPr>
                  <w:r>
                    <w:rPr>
                      <w:rFonts w:hint="eastAsia" w:ascii="Times New Roman" w:hAnsi="Times New Roman" w:cs="Times New Roman"/>
                      <w:sz w:val="21"/>
                      <w:szCs w:val="21"/>
                    </w:rPr>
                    <w:t>八家子村（厂区北侧）</w:t>
                  </w:r>
                </w:p>
              </w:tc>
              <w:tc>
                <w:tcPr>
                  <w:tcW w:w="557"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52</w:t>
                  </w:r>
                </w:p>
              </w:tc>
              <w:tc>
                <w:tcPr>
                  <w:tcW w:w="452"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41</w:t>
                  </w:r>
                </w:p>
              </w:tc>
              <w:tc>
                <w:tcPr>
                  <w:tcW w:w="590"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34.3</w:t>
                  </w:r>
                </w:p>
              </w:tc>
              <w:tc>
                <w:tcPr>
                  <w:tcW w:w="513"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34.3</w:t>
                  </w:r>
                </w:p>
              </w:tc>
              <w:tc>
                <w:tcPr>
                  <w:tcW w:w="59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52.1</w:t>
                  </w:r>
                </w:p>
              </w:tc>
              <w:tc>
                <w:tcPr>
                  <w:tcW w:w="536"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41.8</w:t>
                  </w:r>
                </w:p>
              </w:tc>
              <w:tc>
                <w:tcPr>
                  <w:tcW w:w="1171" w:type="pct"/>
                  <w:vMerge w:val="continue"/>
                  <w:tcBorders>
                    <w:tl2br w:val="nil"/>
                    <w:tr2bl w:val="nil"/>
                  </w:tcBorders>
                  <w:vAlign w:val="center"/>
                </w:tcPr>
                <w:p>
                  <w:pPr>
                    <w:jc w:val="center"/>
                    <w:rPr>
                      <w:rFonts w:hint="default" w:ascii="Times New Roman" w:hAnsi="Times New Roman" w:cs="Times New Roman"/>
                      <w:snapToGrid w:val="0"/>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 xml:space="preserve">3.2 </w:t>
            </w:r>
            <w:r>
              <w:rPr>
                <w:rFonts w:hint="default" w:ascii="Times New Roman" w:hAnsi="Times New Roman" w:cs="Times New Roman"/>
                <w:b w:val="0"/>
                <w:bCs w:val="0"/>
                <w:color w:val="auto"/>
                <w:sz w:val="24"/>
                <w:szCs w:val="24"/>
                <w:highlight w:val="none"/>
              </w:rPr>
              <w:t>噪声污染防治措施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本项目采用基础安装减振垫，厂房隔声等降噪措施，可以有效降低</w:t>
            </w:r>
            <w:r>
              <w:rPr>
                <w:rFonts w:hint="default" w:ascii="Times New Roman" w:hAnsi="Times New Roman" w:cs="Times New Roman"/>
                <w:b w:val="0"/>
                <w:bCs w:val="0"/>
                <w:color w:val="auto"/>
                <w:sz w:val="24"/>
                <w:szCs w:val="24"/>
                <w:highlight w:val="none"/>
                <w:lang w:val="en-US" w:eastAsia="zh-CN"/>
              </w:rPr>
              <w:t>本项目运营期设备</w:t>
            </w:r>
            <w:r>
              <w:rPr>
                <w:rFonts w:hint="default" w:ascii="Times New Roman" w:hAnsi="Times New Roman" w:cs="Times New Roman"/>
                <w:b w:val="0"/>
                <w:bCs w:val="0"/>
                <w:color w:val="auto"/>
                <w:sz w:val="24"/>
                <w:szCs w:val="24"/>
                <w:highlight w:val="none"/>
              </w:rPr>
              <w:t>噪声对</w:t>
            </w:r>
            <w:r>
              <w:rPr>
                <w:rFonts w:hint="default" w:ascii="Times New Roman" w:hAnsi="Times New Roman" w:cs="Times New Roman"/>
                <w:b w:val="0"/>
                <w:bCs w:val="0"/>
                <w:color w:val="auto"/>
                <w:sz w:val="24"/>
                <w:szCs w:val="24"/>
                <w:highlight w:val="none"/>
                <w:lang w:val="en-US" w:eastAsia="zh-CN"/>
              </w:rPr>
              <w:t>周边</w:t>
            </w:r>
            <w:r>
              <w:rPr>
                <w:rFonts w:hint="default" w:ascii="Times New Roman" w:hAnsi="Times New Roman" w:cs="Times New Roman"/>
                <w:b w:val="0"/>
                <w:bCs w:val="0"/>
                <w:color w:val="auto"/>
                <w:sz w:val="24"/>
                <w:szCs w:val="24"/>
                <w:highlight w:val="none"/>
              </w:rPr>
              <w:t>环境的不利影响。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 xml:space="preserve">3.3 </w:t>
            </w:r>
            <w:r>
              <w:rPr>
                <w:rFonts w:hint="default" w:ascii="Times New Roman" w:hAnsi="Times New Roman" w:eastAsia="宋体" w:cs="Times New Roman"/>
                <w:b w:val="0"/>
                <w:bCs w:val="0"/>
                <w:color w:val="auto"/>
                <w:sz w:val="24"/>
                <w:szCs w:val="24"/>
                <w:highlight w:val="none"/>
              </w:rPr>
              <w:t>监测计划</w:t>
            </w:r>
          </w:p>
          <w:p>
            <w:pPr>
              <w:adjustRightInd w:val="0"/>
              <w:snapToGrid w:val="0"/>
              <w:spacing w:line="360" w:lineRule="auto"/>
              <w:ind w:firstLine="460" w:firstLineChars="200"/>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spacing w:val="-5"/>
                <w:sz w:val="24"/>
                <w:szCs w:val="24"/>
                <w:highlight w:val="none"/>
              </w:rPr>
              <w:t>根据《排污单位自行监测技术指南 总则》（HJ819-2017）和</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rPr>
              <w:t>排污单位自行监测技术指南 火力发电及锅炉》（HJ 820-2017）</w:t>
            </w:r>
            <w:r>
              <w:rPr>
                <w:rFonts w:hint="default" w:ascii="Times New Roman" w:hAnsi="Times New Roman" w:eastAsia="宋体" w:cs="Times New Roman"/>
                <w:b w:val="0"/>
                <w:bCs w:val="0"/>
                <w:color w:val="auto"/>
                <w:kern w:val="0"/>
                <w:sz w:val="24"/>
                <w:szCs w:val="24"/>
                <w:highlight w:val="none"/>
              </w:rPr>
              <w:t>，结合本项目的实际排污状况，制定并实施切实可行的环境监测计划。具体监测计划见下表。</w:t>
            </w:r>
          </w:p>
          <w:p>
            <w:pPr>
              <w:pStyle w:val="68"/>
              <w:spacing w:line="240" w:lineRule="auto"/>
              <w:rPr>
                <w:rFonts w:hint="default" w:ascii="Times New Roman" w:hAnsi="Times New Roman" w:cs="Times New Roman" w:eastAsiaTheme="minorEastAsia"/>
                <w:b/>
                <w:bCs/>
                <w:color w:val="auto"/>
                <w:sz w:val="21"/>
                <w:szCs w:val="24"/>
                <w:lang w:val="en-US" w:eastAsia="zh-CN"/>
              </w:rPr>
            </w:pP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表4-1</w:t>
            </w:r>
            <w:r>
              <w:rPr>
                <w:rFonts w:hint="eastAsia" w:ascii="Times New Roman" w:hAnsi="Times New Roman" w:cs="Times New Roman" w:eastAsiaTheme="minorEastAsia"/>
                <w:b/>
                <w:bCs/>
                <w:color w:val="auto"/>
                <w:sz w:val="21"/>
                <w:szCs w:val="24"/>
                <w:lang w:val="en-US" w:eastAsia="zh-CN"/>
              </w:rPr>
              <w:t>2</w:t>
            </w:r>
            <w:r>
              <w:rPr>
                <w:rFonts w:hint="default" w:ascii="Times New Roman" w:hAnsi="Times New Roman" w:cs="Times New Roman" w:eastAsiaTheme="minorEastAsia"/>
                <w:b/>
                <w:bCs/>
                <w:color w:val="auto"/>
                <w:sz w:val="21"/>
                <w:szCs w:val="24"/>
                <w:lang w:val="en-US" w:eastAsia="zh-CN"/>
              </w:rPr>
              <w:t xml:space="preserve">  噪声监测计划一览表</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5"/>
              <w:gridCol w:w="804"/>
              <w:gridCol w:w="1379"/>
              <w:gridCol w:w="1222"/>
              <w:gridCol w:w="1568"/>
              <w:gridCol w:w="29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44"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序号</w:t>
                  </w:r>
                </w:p>
              </w:tc>
              <w:tc>
                <w:tcPr>
                  <w:tcW w:w="485"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环境</w:t>
                  </w:r>
                </w:p>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要素</w:t>
                  </w:r>
                </w:p>
              </w:tc>
              <w:tc>
                <w:tcPr>
                  <w:tcW w:w="832"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监测点位</w:t>
                  </w:r>
                </w:p>
              </w:tc>
              <w:tc>
                <w:tcPr>
                  <w:tcW w:w="737"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w:t>
                  </w:r>
                </w:p>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指标</w:t>
                  </w:r>
                </w:p>
              </w:tc>
              <w:tc>
                <w:tcPr>
                  <w:tcW w:w="94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监测频次</w:t>
                  </w:r>
                </w:p>
              </w:tc>
              <w:tc>
                <w:tcPr>
                  <w:tcW w:w="1753"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atLeast"/>
                <w:jc w:val="center"/>
              </w:trPr>
              <w:tc>
                <w:tcPr>
                  <w:tcW w:w="244"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w:t>
                  </w:r>
                </w:p>
              </w:tc>
              <w:tc>
                <w:tcPr>
                  <w:tcW w:w="485"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声环境</w:t>
                  </w:r>
                </w:p>
              </w:tc>
              <w:tc>
                <w:tcPr>
                  <w:tcW w:w="832"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厂界四周外1m布设4个点</w:t>
                  </w:r>
                </w:p>
              </w:tc>
              <w:tc>
                <w:tcPr>
                  <w:tcW w:w="737"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w:t>
                  </w:r>
                </w:p>
              </w:tc>
              <w:tc>
                <w:tcPr>
                  <w:tcW w:w="946"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每季度开展1次昼夜监测</w:t>
                  </w:r>
                </w:p>
              </w:tc>
              <w:tc>
                <w:tcPr>
                  <w:tcW w:w="1753" w:type="pct"/>
                  <w:tcBorders>
                    <w:tl2br w:val="nil"/>
                    <w:tr2bl w:val="nil"/>
                  </w:tcBorders>
                  <w:noWrap w:val="0"/>
                  <w:vAlign w:val="center"/>
                </w:tcPr>
                <w:p>
                  <w:pPr>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lang w:val="en-US" w:eastAsia="zh-CN"/>
                    </w:rPr>
                    <w:t>厂界</w:t>
                  </w:r>
                  <w:r>
                    <w:rPr>
                      <w:rFonts w:hint="default" w:ascii="Times New Roman" w:hAnsi="Times New Roman" w:cs="Times New Roman"/>
                      <w:bCs/>
                      <w:color w:val="auto"/>
                      <w:kern w:val="0"/>
                      <w:sz w:val="21"/>
                      <w:szCs w:val="21"/>
                      <w:highlight w:val="none"/>
                      <w:lang w:val="en-US" w:eastAsia="zh-CN"/>
                    </w:rPr>
                    <w:t>噪声</w:t>
                  </w:r>
                  <w:r>
                    <w:rPr>
                      <w:rFonts w:hint="default" w:ascii="Times New Roman" w:hAnsi="Times New Roman" w:eastAsia="宋体" w:cs="Times New Roman"/>
                      <w:bCs/>
                      <w:color w:val="auto"/>
                      <w:kern w:val="0"/>
                      <w:sz w:val="21"/>
                      <w:szCs w:val="21"/>
                      <w:highlight w:val="none"/>
                      <w:lang w:val="en-US" w:eastAsia="zh-CN"/>
                    </w:rPr>
                    <w:t>执行《工业企业厂界环境噪声排放标准》（GB12348-2008）2类标准限值要求。</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4</w:t>
            </w:r>
            <w:r>
              <w:rPr>
                <w:rFonts w:hint="default" w:ascii="Times New Roman" w:hAnsi="Times New Roman" w:eastAsia="宋体" w:cs="Times New Roman"/>
                <w:b w:val="0"/>
                <w:bCs w:val="0"/>
                <w:color w:val="auto"/>
                <w:kern w:val="2"/>
                <w:sz w:val="24"/>
                <w:szCs w:val="24"/>
                <w:highlight w:val="none"/>
                <w:lang w:val="en-US" w:eastAsia="zh-CN" w:bidi="ar-SA"/>
              </w:rPr>
              <w:t>、固体废物</w:t>
            </w:r>
          </w:p>
          <w:p>
            <w:pPr>
              <w:spacing w:line="360" w:lineRule="auto"/>
              <w:ind w:firstLine="480" w:firstLineChars="200"/>
              <w:jc w:val="left"/>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 xml:space="preserve">4.1 </w:t>
            </w:r>
            <w:r>
              <w:rPr>
                <w:rFonts w:hint="default" w:ascii="Times New Roman" w:hAnsi="Times New Roman" w:cs="Times New Roman"/>
                <w:b w:val="0"/>
                <w:bCs w:val="0"/>
                <w:color w:val="auto"/>
                <w:sz w:val="24"/>
                <w:szCs w:val="24"/>
              </w:rPr>
              <w:t>固体废物产生及排放情况</w:t>
            </w:r>
          </w:p>
          <w:p>
            <w:pPr>
              <w:pStyle w:val="68"/>
              <w:spacing w:line="240" w:lineRule="auto"/>
              <w:rPr>
                <w:rFonts w:hint="default" w:ascii="Times New Roman" w:hAnsi="Times New Roman" w:cs="Times New Roman" w:eastAsiaTheme="minorEastAsia"/>
                <w:b/>
                <w:bCs/>
                <w:color w:val="auto"/>
                <w:sz w:val="21"/>
                <w:szCs w:val="24"/>
                <w:lang w:val="en-US" w:eastAsia="zh-CN"/>
              </w:rPr>
            </w:pPr>
            <w:r>
              <w:rPr>
                <w:rFonts w:hint="default" w:ascii="Times New Roman" w:hAnsi="Times New Roman" w:cs="Times New Roman" w:eastAsiaTheme="minorEastAsia"/>
                <w:b/>
                <w:bCs/>
                <w:color w:val="auto"/>
                <w:sz w:val="21"/>
                <w:szCs w:val="24"/>
                <w:lang w:val="en-US" w:eastAsia="zh-CN"/>
              </w:rPr>
              <w:t>表4-1</w:t>
            </w:r>
            <w:r>
              <w:rPr>
                <w:rFonts w:hint="eastAsia" w:ascii="Times New Roman" w:hAnsi="Times New Roman" w:cs="Times New Roman" w:eastAsiaTheme="minorEastAsia"/>
                <w:b/>
                <w:bCs/>
                <w:color w:val="auto"/>
                <w:sz w:val="21"/>
                <w:szCs w:val="24"/>
                <w:lang w:val="en-US" w:eastAsia="zh-CN"/>
              </w:rPr>
              <w:t>3</w:t>
            </w:r>
            <w:r>
              <w:rPr>
                <w:rFonts w:hint="default" w:ascii="Times New Roman" w:hAnsi="Times New Roman" w:cs="Times New Roman" w:eastAsiaTheme="minorEastAsia"/>
                <w:b/>
                <w:bCs/>
                <w:color w:val="auto"/>
                <w:sz w:val="21"/>
                <w:szCs w:val="24"/>
                <w:lang w:val="en-US" w:eastAsia="zh-CN"/>
              </w:rPr>
              <w:t xml:space="preserve">  固体废物污染源源强核算结果及相关参数一览表</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653"/>
              <w:gridCol w:w="931"/>
              <w:gridCol w:w="1196"/>
              <w:gridCol w:w="608"/>
              <w:gridCol w:w="696"/>
              <w:gridCol w:w="1074"/>
              <w:gridCol w:w="534"/>
              <w:gridCol w:w="963"/>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工序</w:t>
                  </w:r>
                </w:p>
              </w:tc>
              <w:tc>
                <w:tcPr>
                  <w:tcW w:w="394"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装置</w:t>
                  </w:r>
                </w:p>
              </w:tc>
              <w:tc>
                <w:tcPr>
                  <w:tcW w:w="562"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固体废物名称</w:t>
                  </w:r>
                </w:p>
              </w:tc>
              <w:tc>
                <w:tcPr>
                  <w:tcW w:w="722"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固废代码</w:t>
                  </w:r>
                </w:p>
              </w:tc>
              <w:tc>
                <w:tcPr>
                  <w:tcW w:w="367"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固体废物属性</w:t>
                  </w:r>
                </w:p>
              </w:tc>
              <w:tc>
                <w:tcPr>
                  <w:tcW w:w="1068" w:type="pct"/>
                  <w:gridSpan w:val="2"/>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903" w:type="pct"/>
                  <w:gridSpan w:val="2"/>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处置措施</w:t>
                  </w:r>
                </w:p>
              </w:tc>
              <w:tc>
                <w:tcPr>
                  <w:tcW w:w="723"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最终</w:t>
                  </w:r>
                </w:p>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722"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核算</w:t>
                  </w:r>
                </w:p>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w:t>
                  </w:r>
                </w:p>
              </w:tc>
              <w:tc>
                <w:tcPr>
                  <w:tcW w:w="648"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3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w:t>
                  </w:r>
                </w:p>
              </w:tc>
              <w:tc>
                <w:tcPr>
                  <w:tcW w:w="581"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处置量t/a</w:t>
                  </w:r>
                </w:p>
              </w:tc>
              <w:tc>
                <w:tcPr>
                  <w:tcW w:w="723" w:type="pct"/>
                  <w:vMerge w:val="continue"/>
                  <w:shd w:val="clear" w:color="auto" w:fill="auto"/>
                  <w:vAlign w:val="center"/>
                </w:tcPr>
                <w:p>
                  <w:pPr>
                    <w:shd w:val="clea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257"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p>
              </w:tc>
              <w:tc>
                <w:tcPr>
                  <w:tcW w:w="394"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垃圾箱</w:t>
                  </w: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722" w:type="pct"/>
                  <w:shd w:val="clear" w:color="auto" w:fill="auto"/>
                  <w:vAlign w:val="center"/>
                </w:tcPr>
                <w:p>
                  <w:pPr>
                    <w:widowControl/>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367" w:type="pct"/>
                  <w:shd w:val="clear" w:color="auto" w:fill="auto"/>
                  <w:vAlign w:val="center"/>
                </w:tcPr>
                <w:p>
                  <w:pPr>
                    <w:widowControl/>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类比法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322" w:type="pct"/>
                  <w:vMerge w:val="restart"/>
                  <w:shd w:val="clear" w:color="auto" w:fill="auto"/>
                  <w:vAlign w:val="center"/>
                </w:tcPr>
                <w:p>
                  <w:pPr>
                    <w:shd w:val="clear"/>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w:t>
                  </w:r>
                </w:p>
              </w:tc>
              <w:tc>
                <w:tcPr>
                  <w:tcW w:w="581" w:type="pct"/>
                  <w:shd w:val="clear" w:color="auto" w:fill="auto"/>
                  <w:vAlign w:val="center"/>
                </w:tcPr>
                <w:p>
                  <w:pPr>
                    <w:shd w:val="clea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市政环卫统一处置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生产区</w:t>
                  </w:r>
                </w:p>
              </w:tc>
              <w:tc>
                <w:tcPr>
                  <w:tcW w:w="394"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生产线</w:t>
                  </w: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废纸箱及废包装袋</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130-001-39</w:t>
                  </w:r>
                </w:p>
              </w:tc>
              <w:tc>
                <w:tcPr>
                  <w:tcW w:w="367" w:type="pct"/>
                  <w:vMerge w:val="restar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一般工业固体废物</w:t>
                  </w: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类比法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2</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玉米叶、玉米须</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130-001-34</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系数法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集中收集，外售用作饲料。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不合格的果穗、青穗</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130-001-34</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系数法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225</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225</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集中收集，外售用作饲料。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废弃玉米段</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130-001-34</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系数法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225</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225</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集中收集，外售用作饲料。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锅炉灰渣</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eastAsia="宋体" w:cs="Times New Roman"/>
                      <w:snapToGrid w:val="0"/>
                      <w:color w:val="auto"/>
                      <w:sz w:val="21"/>
                      <w:szCs w:val="21"/>
                      <w:highlight w:val="none"/>
                      <w:lang w:val="en-US" w:eastAsia="zh-CN"/>
                    </w:rPr>
                    <w:t>443-001</w:t>
                  </w:r>
                  <w:r>
                    <w:rPr>
                      <w:rFonts w:hint="default" w:ascii="Times New Roman" w:hAnsi="Times New Roman" w:eastAsia="宋体" w:cs="Times New Roman"/>
                      <w:snapToGrid w:val="0"/>
                      <w:color w:val="auto"/>
                      <w:sz w:val="21"/>
                      <w:szCs w:val="21"/>
                      <w:highlight w:val="none"/>
                    </w:rPr>
                    <w:t>-6</w:t>
                  </w:r>
                  <w:r>
                    <w:rPr>
                      <w:rFonts w:hint="default" w:ascii="Times New Roman" w:hAnsi="Times New Roman" w:eastAsia="宋体" w:cs="Times New Roman"/>
                      <w:snapToGrid w:val="0"/>
                      <w:color w:val="auto"/>
                      <w:sz w:val="21"/>
                      <w:szCs w:val="21"/>
                      <w:highlight w:val="none"/>
                      <w:lang w:val="en-US" w:eastAsia="zh-CN"/>
                    </w:rPr>
                    <w:t>4</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物料平衡法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98.0</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98.0</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锅炉</w:t>
                  </w:r>
                  <w:r>
                    <w:rPr>
                      <w:rFonts w:hint="default" w:ascii="Times New Roman" w:hAnsi="Times New Roman" w:cs="Times New Roman"/>
                      <w:color w:val="auto"/>
                      <w:sz w:val="21"/>
                      <w:szCs w:val="21"/>
                    </w:rPr>
                    <w:t>灰渣暂存于灰渣</w:t>
                  </w:r>
                  <w:r>
                    <w:rPr>
                      <w:rFonts w:hint="default" w:ascii="Times New Roman" w:hAnsi="Times New Roman" w:cs="Times New Roman"/>
                      <w:color w:val="auto"/>
                      <w:sz w:val="21"/>
                      <w:szCs w:val="21"/>
                      <w:lang w:eastAsia="zh-CN"/>
                    </w:rPr>
                    <w:t>间</w:t>
                  </w:r>
                  <w:r>
                    <w:rPr>
                      <w:rFonts w:hint="default" w:ascii="Times New Roman" w:hAnsi="Times New Roman" w:cs="Times New Roman"/>
                      <w:color w:val="auto"/>
                      <w:sz w:val="21"/>
                      <w:szCs w:val="21"/>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布袋除尘器收尘</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eastAsia="宋体" w:cs="Times New Roman"/>
                      <w:snapToGrid w:val="0"/>
                      <w:color w:val="auto"/>
                      <w:sz w:val="21"/>
                      <w:szCs w:val="21"/>
                      <w:highlight w:val="none"/>
                      <w:lang w:val="en-US" w:eastAsia="zh-CN"/>
                    </w:rPr>
                    <w:t>422</w:t>
                  </w:r>
                  <w:r>
                    <w:rPr>
                      <w:rFonts w:hint="default" w:ascii="Times New Roman" w:hAnsi="Times New Roman" w:eastAsia="宋体" w:cs="Times New Roman"/>
                      <w:snapToGrid w:val="0"/>
                      <w:color w:val="auto"/>
                      <w:sz w:val="21"/>
                      <w:szCs w:val="21"/>
                      <w:highlight w:val="none"/>
                    </w:rPr>
                    <w:t>-999-66</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物料平衡法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26.8</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26.8</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布袋除尘器</w:t>
                  </w:r>
                  <w:r>
                    <w:rPr>
                      <w:rFonts w:hint="default" w:ascii="Times New Roman" w:hAnsi="Times New Roman" w:cs="Times New Roman"/>
                      <w:color w:val="auto"/>
                      <w:sz w:val="21"/>
                      <w:szCs w:val="21"/>
                      <w:lang w:eastAsia="zh-CN"/>
                    </w:rPr>
                    <w:t>收尘</w:t>
                  </w:r>
                  <w:r>
                    <w:rPr>
                      <w:rFonts w:hint="default" w:ascii="Times New Roman" w:hAnsi="Times New Roman" w:cs="Times New Roman"/>
                      <w:color w:val="auto"/>
                      <w:sz w:val="21"/>
                      <w:szCs w:val="21"/>
                    </w:rPr>
                    <w:t>暂存于灰渣</w:t>
                  </w:r>
                  <w:r>
                    <w:rPr>
                      <w:rFonts w:hint="default" w:ascii="Times New Roman" w:hAnsi="Times New Roman" w:cs="Times New Roman"/>
                      <w:color w:val="auto"/>
                      <w:sz w:val="21"/>
                      <w:szCs w:val="21"/>
                      <w:lang w:eastAsia="zh-CN"/>
                    </w:rPr>
                    <w:t>间</w:t>
                  </w:r>
                  <w:r>
                    <w:rPr>
                      <w:rFonts w:hint="default" w:ascii="Times New Roman" w:hAnsi="Times New Roman" w:cs="Times New Roman"/>
                      <w:color w:val="auto"/>
                      <w:sz w:val="21"/>
                      <w:szCs w:val="21"/>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除尘器废布袋</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highlight w:val="none"/>
                      <w:lang w:val="en-US" w:eastAsia="zh-CN"/>
                    </w:rPr>
                    <w:t>422</w:t>
                  </w:r>
                  <w:r>
                    <w:rPr>
                      <w:rFonts w:hint="default" w:ascii="Times New Roman" w:hAnsi="Times New Roman" w:cs="Times New Roman"/>
                      <w:snapToGrid w:val="0"/>
                      <w:color w:val="auto"/>
                      <w:sz w:val="21"/>
                      <w:szCs w:val="21"/>
                      <w:highlight w:val="none"/>
                    </w:rPr>
                    <w:t>-999-99</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类比法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w:t>
                  </w:r>
                </w:p>
              </w:tc>
              <w:tc>
                <w:tcPr>
                  <w:tcW w:w="723"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集中收集，由厂家回收再利用。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394"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56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废离子交换树脂</w:t>
                  </w:r>
                </w:p>
              </w:tc>
              <w:tc>
                <w:tcPr>
                  <w:tcW w:w="722"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highlight w:val="none"/>
                      <w:lang w:val="en-US" w:eastAsia="zh-CN"/>
                    </w:rPr>
                    <w:t>443-001</w:t>
                  </w:r>
                  <w:r>
                    <w:rPr>
                      <w:rFonts w:hint="default" w:ascii="Times New Roman" w:hAnsi="Times New Roman" w:cs="Times New Roman"/>
                      <w:snapToGrid w:val="0"/>
                      <w:color w:val="auto"/>
                      <w:sz w:val="21"/>
                      <w:szCs w:val="21"/>
                      <w:highlight w:val="none"/>
                    </w:rPr>
                    <w:t>-</w:t>
                  </w:r>
                  <w:r>
                    <w:rPr>
                      <w:rFonts w:hint="default" w:ascii="Times New Roman" w:hAnsi="Times New Roman" w:cs="Times New Roman"/>
                      <w:snapToGrid w:val="0"/>
                      <w:color w:val="auto"/>
                      <w:sz w:val="21"/>
                      <w:szCs w:val="21"/>
                      <w:highlight w:val="none"/>
                      <w:lang w:val="en-US" w:eastAsia="zh-CN"/>
                    </w:rPr>
                    <w:t>99</w:t>
                  </w:r>
                </w:p>
              </w:tc>
              <w:tc>
                <w:tcPr>
                  <w:tcW w:w="367" w:type="pct"/>
                  <w:vMerge w:val="continue"/>
                  <w:shd w:val="clear" w:color="auto" w:fill="auto"/>
                  <w:vAlign w:val="center"/>
                </w:tcPr>
                <w:p>
                  <w:pPr>
                    <w:shd w:val="clear"/>
                    <w:jc w:val="center"/>
                    <w:rPr>
                      <w:rFonts w:hint="default" w:ascii="Times New Roman" w:hAnsi="Times New Roman" w:cs="Times New Roman"/>
                      <w:color w:val="auto"/>
                      <w:sz w:val="21"/>
                      <w:szCs w:val="21"/>
                    </w:rPr>
                  </w:pPr>
                </w:p>
              </w:tc>
              <w:tc>
                <w:tcPr>
                  <w:tcW w:w="420"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类比法</w:t>
                  </w:r>
                </w:p>
              </w:tc>
              <w:tc>
                <w:tcPr>
                  <w:tcW w:w="648" w:type="pct"/>
                  <w:shd w:val="clear" w:color="auto" w:fill="auto"/>
                  <w:vAlign w:val="center"/>
                </w:tcPr>
                <w:p>
                  <w:pPr>
                    <w:shd w:val="clea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322" w:type="pct"/>
                  <w:vMerge w:val="continue"/>
                  <w:shd w:val="clear" w:color="auto" w:fill="auto"/>
                  <w:vAlign w:val="center"/>
                </w:tcPr>
                <w:p>
                  <w:pPr>
                    <w:shd w:val="clear"/>
                    <w:jc w:val="center"/>
                    <w:rPr>
                      <w:rFonts w:hint="default" w:ascii="Times New Roman" w:hAnsi="Times New Roman" w:cs="Times New Roman"/>
                      <w:color w:val="auto"/>
                      <w:spacing w:val="-6"/>
                      <w:sz w:val="21"/>
                      <w:szCs w:val="21"/>
                    </w:rPr>
                  </w:pPr>
                </w:p>
              </w:tc>
              <w:tc>
                <w:tcPr>
                  <w:tcW w:w="581" w:type="pct"/>
                  <w:shd w:val="clear" w:color="auto" w:fill="auto"/>
                  <w:vAlign w:val="center"/>
                </w:tcPr>
                <w:p>
                  <w:pPr>
                    <w:shd w:val="clea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w:t>
                  </w:r>
                </w:p>
              </w:tc>
              <w:tc>
                <w:tcPr>
                  <w:tcW w:w="723" w:type="pct"/>
                  <w:shd w:val="clear" w:color="auto" w:fill="auto"/>
                  <w:vAlign w:val="center"/>
                </w:tcPr>
                <w:p>
                  <w:pPr>
                    <w:shd w:val="clea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集中收集，由厂家回收再利用。</w:t>
                  </w:r>
                </w:p>
              </w:tc>
            </w:tr>
          </w:tbl>
          <w:p>
            <w:pPr>
              <w:spacing w:line="360" w:lineRule="auto"/>
              <w:ind w:firstLine="480" w:firstLineChars="200"/>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 xml:space="preserve">4.2 </w:t>
            </w:r>
            <w:r>
              <w:rPr>
                <w:rFonts w:hint="default" w:ascii="Times New Roman" w:hAnsi="Times New Roman" w:cs="Times New Roman"/>
                <w:b w:val="0"/>
                <w:bCs w:val="0"/>
                <w:color w:val="auto"/>
                <w:sz w:val="24"/>
                <w:szCs w:val="24"/>
              </w:rPr>
              <w:t>源强计算</w:t>
            </w:r>
          </w:p>
          <w:p>
            <w:pPr>
              <w:spacing w:line="360" w:lineRule="auto"/>
              <w:ind w:firstLine="480" w:firstLineChars="20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本项目产生的固体废物为生活垃圾和生产固废。</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（1）生活垃圾</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本项目员工</w:t>
            </w:r>
            <w:r>
              <w:rPr>
                <w:rFonts w:hint="default" w:ascii="Times New Roman" w:hAnsi="Times New Roman" w:cs="Times New Roman"/>
                <w:b w:val="0"/>
                <w:bCs w:val="0"/>
                <w:color w:val="auto"/>
                <w:sz w:val="24"/>
                <w:szCs w:val="24"/>
                <w:lang w:val="en-US" w:eastAsia="zh-CN"/>
              </w:rPr>
              <w:t>20</w:t>
            </w:r>
            <w:r>
              <w:rPr>
                <w:rFonts w:hint="default" w:ascii="Times New Roman" w:hAnsi="Times New Roman" w:cs="Times New Roman"/>
                <w:b w:val="0"/>
                <w:bCs w:val="0"/>
                <w:color w:val="auto"/>
                <w:sz w:val="24"/>
                <w:szCs w:val="24"/>
              </w:rPr>
              <w:t>0人，产生垃圾量按0.5kg/人·天计，本项目日产生活垃圾量为</w:t>
            </w:r>
            <w:r>
              <w:rPr>
                <w:rFonts w:hint="default" w:ascii="Times New Roman" w:hAnsi="Times New Roman" w:cs="Times New Roman"/>
                <w:b w:val="0"/>
                <w:bCs w:val="0"/>
                <w:color w:val="auto"/>
                <w:sz w:val="24"/>
                <w:szCs w:val="24"/>
                <w:lang w:val="en-US" w:eastAsia="zh-CN"/>
              </w:rPr>
              <w:t>100</w:t>
            </w:r>
            <w:r>
              <w:rPr>
                <w:rFonts w:hint="default" w:ascii="Times New Roman" w:hAnsi="Times New Roman" w:cs="Times New Roman"/>
                <w:b w:val="0"/>
                <w:bCs w:val="0"/>
                <w:color w:val="auto"/>
                <w:sz w:val="24"/>
                <w:szCs w:val="24"/>
              </w:rPr>
              <w:t>kg/d，年运营时间</w:t>
            </w:r>
            <w:r>
              <w:rPr>
                <w:rFonts w:hint="default" w:ascii="Times New Roman" w:hAnsi="Times New Roman" w:cs="Times New Roman"/>
                <w:b w:val="0"/>
                <w:bCs w:val="0"/>
                <w:color w:val="auto"/>
                <w:sz w:val="24"/>
                <w:szCs w:val="24"/>
                <w:lang w:eastAsia="zh-CN"/>
              </w:rPr>
              <w:t>为</w:t>
            </w:r>
            <w:r>
              <w:rPr>
                <w:rFonts w:hint="default" w:ascii="Times New Roman" w:hAnsi="Times New Roman" w:cs="Times New Roman"/>
                <w:b w:val="0"/>
                <w:bCs w:val="0"/>
                <w:color w:val="auto"/>
                <w:sz w:val="24"/>
                <w:szCs w:val="24"/>
                <w:lang w:val="en-US" w:eastAsia="zh-CN"/>
              </w:rPr>
              <w:t>6</w:t>
            </w:r>
            <w:r>
              <w:rPr>
                <w:rFonts w:hint="default" w:ascii="Times New Roman" w:hAnsi="Times New Roman" w:cs="Times New Roman"/>
                <w:b w:val="0"/>
                <w:bCs w:val="0"/>
                <w:color w:val="auto"/>
                <w:sz w:val="24"/>
                <w:szCs w:val="24"/>
              </w:rPr>
              <w:t>0天，则年产生垃圾量</w:t>
            </w:r>
            <w:r>
              <w:rPr>
                <w:rFonts w:hint="default" w:ascii="Times New Roman" w:hAnsi="Times New Roman" w:cs="Times New Roman"/>
                <w:b w:val="0"/>
                <w:bCs w:val="0"/>
                <w:color w:val="auto"/>
                <w:sz w:val="24"/>
                <w:szCs w:val="24"/>
                <w:lang w:val="en-US" w:eastAsia="zh-CN"/>
              </w:rPr>
              <w:t>6</w:t>
            </w:r>
            <w:r>
              <w:rPr>
                <w:rFonts w:hint="default" w:ascii="Times New Roman" w:hAnsi="Times New Roman" w:cs="Times New Roman"/>
                <w:b w:val="0"/>
                <w:bCs w:val="0"/>
                <w:color w:val="auto"/>
                <w:sz w:val="24"/>
                <w:szCs w:val="24"/>
              </w:rPr>
              <w:t>t/a。生活垃圾集中收集后，由环卫部门统一处理。</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（2）废纸箱及废包装袋</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产品包装过程中会产生废弃包装箱及包装袋，类比同类项目，废弃包装箱产生量约为0.</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rPr>
              <w:t>t/a。集中收集外售综合利用。</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（3）玉米叶、玉米须</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项目在剥包过程中应除净玉米须、玉米叶</w:t>
            </w:r>
            <w:r>
              <w:rPr>
                <w:rFonts w:hint="eastAsia" w:cs="Times New Roman"/>
                <w:b w:val="0"/>
                <w:bCs w:val="0"/>
                <w:color w:val="auto"/>
                <w:sz w:val="24"/>
                <w:szCs w:val="24"/>
                <w:lang w:eastAsia="zh-CN"/>
              </w:rPr>
              <w:t>。</w:t>
            </w:r>
            <w:r>
              <w:rPr>
                <w:rFonts w:hint="default" w:ascii="Times New Roman" w:hAnsi="Times New Roman" w:cs="Times New Roman"/>
                <w:b w:val="0"/>
                <w:bCs w:val="0"/>
                <w:color w:val="auto"/>
                <w:sz w:val="24"/>
                <w:szCs w:val="24"/>
              </w:rPr>
              <w:t>玉米须、玉米叶产生量为</w:t>
            </w:r>
            <w:r>
              <w:rPr>
                <w:rFonts w:hint="default" w:ascii="Times New Roman" w:hAnsi="Times New Roman" w:cs="Times New Roman"/>
                <w:b w:val="0"/>
                <w:bCs w:val="0"/>
                <w:color w:val="auto"/>
                <w:sz w:val="24"/>
                <w:szCs w:val="24"/>
                <w:lang w:val="en-US" w:eastAsia="zh-CN"/>
              </w:rPr>
              <w:t>50</w:t>
            </w:r>
            <w:r>
              <w:rPr>
                <w:rFonts w:hint="default" w:ascii="Times New Roman" w:hAnsi="Times New Roman" w:cs="Times New Roman"/>
                <w:b w:val="0"/>
                <w:bCs w:val="0"/>
                <w:color w:val="auto"/>
                <w:sz w:val="24"/>
                <w:szCs w:val="24"/>
              </w:rPr>
              <w:t>t/a，集中收集，外售用作饲料。</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（4）不合格的果穗、青穗</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项目检验过程中不合格的果穗、青穗产生量约为原料量</w:t>
            </w:r>
            <w:r>
              <w:rPr>
                <w:rFonts w:hint="default"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rPr>
              <w:t>%，玉米须、玉米叶产生量为</w:t>
            </w:r>
            <w:r>
              <w:rPr>
                <w:rFonts w:hint="default" w:ascii="Times New Roman" w:hAnsi="Times New Roman" w:cs="Times New Roman"/>
                <w:b w:val="0"/>
                <w:bCs w:val="0"/>
                <w:color w:val="auto"/>
                <w:sz w:val="24"/>
                <w:szCs w:val="24"/>
                <w:lang w:val="en-US" w:eastAsia="zh-CN"/>
              </w:rPr>
              <w:t>225</w:t>
            </w:r>
            <w:r>
              <w:rPr>
                <w:rFonts w:hint="default" w:ascii="Times New Roman" w:hAnsi="Times New Roman" w:cs="Times New Roman"/>
                <w:b w:val="0"/>
                <w:bCs w:val="0"/>
                <w:color w:val="auto"/>
                <w:sz w:val="24"/>
                <w:szCs w:val="24"/>
              </w:rPr>
              <w:t>t/a，集中收集，外售用作饲料。</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（5）废弃玉米段</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项目修整过程中废弃玉米段产生量约为原料量5%，玉米须、玉米叶产生量为</w:t>
            </w:r>
            <w:r>
              <w:rPr>
                <w:rFonts w:hint="default" w:ascii="Times New Roman" w:hAnsi="Times New Roman" w:cs="Times New Roman"/>
                <w:b w:val="0"/>
                <w:bCs w:val="0"/>
                <w:color w:val="auto"/>
                <w:sz w:val="24"/>
                <w:szCs w:val="24"/>
                <w:lang w:val="en-US" w:eastAsia="zh-CN"/>
              </w:rPr>
              <w:t>225</w:t>
            </w:r>
            <w:r>
              <w:rPr>
                <w:rFonts w:hint="default" w:ascii="Times New Roman" w:hAnsi="Times New Roman" w:cs="Times New Roman"/>
                <w:b w:val="0"/>
                <w:bCs w:val="0"/>
                <w:color w:val="auto"/>
                <w:sz w:val="24"/>
                <w:szCs w:val="24"/>
              </w:rPr>
              <w:t>t/a，集中收集，外售用作饲料。</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（6）锅炉布袋除尘器</w:t>
            </w:r>
            <w:r>
              <w:rPr>
                <w:rFonts w:hint="default" w:ascii="Times New Roman" w:hAnsi="Times New Roman" w:cs="Times New Roman"/>
                <w:b w:val="0"/>
                <w:bCs w:val="0"/>
                <w:color w:val="auto"/>
                <w:sz w:val="24"/>
                <w:szCs w:val="24"/>
                <w:highlight w:val="none"/>
                <w:lang w:eastAsia="zh-CN"/>
              </w:rPr>
              <w:t>收尘</w:t>
            </w:r>
            <w:r>
              <w:rPr>
                <w:rFonts w:hint="default" w:ascii="Times New Roman" w:hAnsi="Times New Roman" w:cs="Times New Roman"/>
                <w:b w:val="0"/>
                <w:bCs w:val="0"/>
                <w:color w:val="auto"/>
                <w:sz w:val="24"/>
                <w:szCs w:val="24"/>
                <w:highlight w:val="none"/>
              </w:rPr>
              <w:t>及锅炉灰渣。</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锅炉炉渣产生量根据《污染源源强核算技术指南—锅炉》（HJ991-2018）中固体废物源强核算</w:t>
            </w:r>
          </w:p>
          <w:p>
            <w:pPr>
              <w:spacing w:line="360" w:lineRule="auto"/>
              <w:ind w:firstLine="480" w:firstLineChars="20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E</w:t>
            </w:r>
            <w:r>
              <w:rPr>
                <w:rFonts w:hint="default" w:ascii="Times New Roman" w:hAnsi="Times New Roman" w:cs="Times New Roman"/>
                <w:b w:val="0"/>
                <w:bCs w:val="0"/>
                <w:color w:val="auto"/>
                <w:sz w:val="24"/>
                <w:szCs w:val="24"/>
                <w:highlight w:val="none"/>
                <w:vertAlign w:val="subscript"/>
              </w:rPr>
              <w:t>hz</w:t>
            </w:r>
            <w:r>
              <w:rPr>
                <w:rFonts w:hint="default" w:ascii="Times New Roman" w:hAnsi="Times New Roman" w:cs="Times New Roman"/>
                <w:b w:val="0"/>
                <w:bCs w:val="0"/>
                <w:color w:val="auto"/>
                <w:sz w:val="24"/>
                <w:szCs w:val="24"/>
                <w:highlight w:val="none"/>
              </w:rPr>
              <w:t>=R</w:t>
            </w:r>
            <w:r>
              <w:rPr>
                <w:rFonts w:hint="default" w:ascii="Times New Roman" w:hAnsi="Times New Roman" w:cs="Times New Roman"/>
                <w:b w:val="0"/>
                <w:bCs w:val="0"/>
                <w:color w:val="auto"/>
                <w:sz w:val="24"/>
                <w:szCs w:val="24"/>
                <w:highlight w:val="none"/>
              </w:rPr>
              <w:fldChar w:fldCharType="begin"/>
            </w:r>
            <w:r>
              <w:rPr>
                <w:rFonts w:hint="default" w:ascii="Times New Roman" w:hAnsi="Times New Roman" w:cs="Times New Roman"/>
                <w:b w:val="0"/>
                <w:bCs w:val="0"/>
                <w:color w:val="auto"/>
                <w:sz w:val="24"/>
                <w:szCs w:val="24"/>
                <w:highlight w:val="none"/>
              </w:rPr>
              <w:instrText xml:space="preserve"> QUOTE </w:instrText>
            </w:r>
            <w:r>
              <w:rPr>
                <w:rFonts w:hint="default" w:ascii="Times New Roman" w:hAnsi="Times New Roman" w:cs="Times New Roman"/>
                <w:b w:val="0"/>
                <w:bCs w:val="0"/>
                <w:color w:val="auto"/>
                <w:position w:val="-6"/>
                <w:sz w:val="24"/>
                <w:szCs w:val="24"/>
                <w:highlight w:val="none"/>
              </w:rPr>
              <w:pict>
                <v:shape id="_x0000_i1040" o:spt="75" type="#_x0000_t75" style="height:15.7pt;width:8.1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gutterAtTop/&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targetScreenSz w:val=&quot;1024x768&quot;/&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useFELayout/&gt;&lt;/w:compat&gt;&lt;wsp:rsids&gt;&lt;wsp:rsidRoot wsp:val=&quot;00A3744C&quot;/&gt;&lt;wsp:rsid wsp:val=&quot;000005FE&quot;/&gt;&lt;wsp:rsid wsp:val=&quot;00000E72&quot;/&gt;&lt;wsp:rsid wsp:val=&quot;00001AD6&quot;/&gt;&lt;wsp:rsid wsp:val=&quot;0000238C&quot;/&gt;&lt;wsp:rsid wsp:val=&quot;00002F9B&quot;/&gt;&lt;wsp:rsid wsp:val=&quot;00003CF2&quot;/&gt;&lt;wsp:rsid wsp:val=&quot;00004E62&quot;/&gt;&lt;wsp:rsid wsp:val=&quot;000054C3&quot;/&gt;&lt;wsp:rsid wsp:val=&quot;00005DAB&quot;/&gt;&lt;wsp:rsid wsp:val=&quot;00005DC5&quot;/&gt;&lt;wsp:rsid wsp:val=&quot;000061D4&quot;/&gt;&lt;wsp:rsid wsp:val=&quot;00006363&quot;/&gt;&lt;wsp:rsid wsp:val=&quot;00006BB0&quot;/&gt;&lt;wsp:rsid wsp:val=&quot;00006ED1&quot;/&gt;&lt;wsp:rsid wsp:val=&quot;00007CCA&quot;/&gt;&lt;wsp:rsid wsp:val=&quot;00007D3B&quot;/&gt;&lt;wsp:rsid wsp:val=&quot;00010019&quot;/&gt;&lt;wsp:rsid wsp:val=&quot;00010051&quot;/&gt;&lt;wsp:rsid wsp:val=&quot;00010161&quot;/&gt;&lt;wsp:rsid wsp:val=&quot;000101E6&quot;/&gt;&lt;wsp:rsid wsp:val=&quot;000105AD&quot;/&gt;&lt;wsp:rsid wsp:val=&quot;00010C4C&quot;/&gt;&lt;wsp:rsid wsp:val=&quot;00010E8B&quot;/&gt;&lt;wsp:rsid wsp:val=&quot;0001176D&quot;/&gt;&lt;wsp:rsid wsp:val=&quot;00011FEC&quot;/&gt;&lt;wsp:rsid wsp:val=&quot;00012D59&quot;/&gt;&lt;wsp:rsid wsp:val=&quot;0001434C&quot;/&gt;&lt;wsp:rsid wsp:val=&quot;000145CC&quot;/&gt;&lt;wsp:rsid wsp:val=&quot;0001464F&quot;/&gt;&lt;wsp:rsid wsp:val=&quot;00014735&quot;/&gt;&lt;wsp:rsid wsp:val=&quot;00014CF9&quot;/&gt;&lt;wsp:rsid wsp:val=&quot;00015214&quot;/&gt;&lt;wsp:rsid wsp:val=&quot;0001589A&quot;/&gt;&lt;wsp:rsid wsp:val=&quot;0001644F&quot;/&gt;&lt;wsp:rsid wsp:val=&quot;00020179&quot;/&gt;&lt;wsp:rsid wsp:val=&quot;00021CD2&quot;/&gt;&lt;wsp:rsid wsp:val=&quot;00021E3C&quot;/&gt;&lt;wsp:rsid wsp:val=&quot;00022B15&quot;/&gt;&lt;wsp:rsid wsp:val=&quot;00022C49&quot;/&gt;&lt;wsp:rsid wsp:val=&quot;00022C9B&quot;/&gt;&lt;wsp:rsid wsp:val=&quot;00023214&quot;/&gt;&lt;wsp:rsid wsp:val=&quot;000241B2&quot;/&gt;&lt;wsp:rsid wsp:val=&quot;0002460F&quot;/&gt;&lt;wsp:rsid wsp:val=&quot;00024E09&quot;/&gt;&lt;wsp:rsid wsp:val=&quot;000250B4&quot;/&gt;&lt;wsp:rsid wsp:val=&quot;000257F1&quot;/&gt;&lt;wsp:rsid wsp:val=&quot;00025C9B&quot;/&gt;&lt;wsp:rsid wsp:val=&quot;00025E7B&quot;/&gt;&lt;wsp:rsid wsp:val=&quot;00026F3C&quot;/&gt;&lt;wsp:rsid wsp:val=&quot;00030480&quot;/&gt;&lt;wsp:rsid wsp:val=&quot;000307F8&quot;/&gt;&lt;wsp:rsid wsp:val=&quot;000326C6&quot;/&gt;&lt;wsp:rsid wsp:val=&quot;00033048&quot;/&gt;&lt;wsp:rsid wsp:val=&quot;00034F02&quot;/&gt;&lt;wsp:rsid wsp:val=&quot;000369AE&quot;/&gt;&lt;wsp:rsid wsp:val=&quot;00037CED&quot;/&gt;&lt;wsp:rsid wsp:val=&quot;00041212&quot;/&gt;&lt;wsp:rsid wsp:val=&quot;000416AD&quot;/&gt;&lt;wsp:rsid wsp:val=&quot;00042775&quot;/&gt;&lt;wsp:rsid wsp:val=&quot;00043FB9&quot;/&gt;&lt;wsp:rsid wsp:val=&quot;000445AA&quot;/&gt;&lt;wsp:rsid wsp:val=&quot;0004474B&quot;/&gt;&lt;wsp:rsid wsp:val=&quot;00044E87&quot;/&gt;&lt;wsp:rsid wsp:val=&quot;00045517&quot;/&gt;&lt;wsp:rsid wsp:val=&quot;00045EBA&quot;/&gt;&lt;wsp:rsid wsp:val=&quot;0004626E&quot;/&gt;&lt;wsp:rsid wsp:val=&quot;00047571&quot;/&gt;&lt;wsp:rsid wsp:val=&quot;00047ED2&quot;/&gt;&lt;wsp:rsid wsp:val=&quot;000506D4&quot;/&gt;&lt;wsp:rsid wsp:val=&quot;00052135&quot;/&gt;&lt;wsp:rsid wsp:val=&quot;00053BB8&quot;/&gt;&lt;wsp:rsid wsp:val=&quot;00053D74&quot;/&gt;&lt;wsp:rsid wsp:val=&quot;00054AF1&quot;/&gt;&lt;wsp:rsid wsp:val=&quot;00054EF2&quot;/&gt;&lt;wsp:rsid wsp:val=&quot;00055196&quot;/&gt;&lt;wsp:rsid wsp:val=&quot;00055371&quot;/&gt;&lt;wsp:rsid wsp:val=&quot;00055768&quot;/&gt;&lt;wsp:rsid wsp:val=&quot;000557FB&quot;/&gt;&lt;wsp:rsid wsp:val=&quot;000566EB&quot;/&gt;&lt;wsp:rsid wsp:val=&quot;00056F23&quot;/&gt;&lt;wsp:rsid wsp:val=&quot;00057183&quot;/&gt;&lt;wsp:rsid wsp:val=&quot;000573D6&quot;/&gt;&lt;wsp:rsid wsp:val=&quot;00057AA2&quot;/&gt;&lt;wsp:rsid wsp:val=&quot;00057D9B&quot;/&gt;&lt;wsp:rsid wsp:val=&quot;0006019A&quot;/&gt;&lt;wsp:rsid wsp:val=&quot;000603D9&quot;/&gt;&lt;wsp:rsid wsp:val=&quot;00060527&quot;/&gt;&lt;wsp:rsid wsp:val=&quot;00061118&quot;/&gt;&lt;wsp:rsid wsp:val=&quot;0006183B&quot;/&gt;&lt;wsp:rsid wsp:val=&quot;0006184C&quot;/&gt;&lt;wsp:rsid wsp:val=&quot;0006216B&quot;/&gt;&lt;wsp:rsid wsp:val=&quot;0006306B&quot;/&gt;&lt;wsp:rsid wsp:val=&quot;000630A5&quot;/&gt;&lt;wsp:rsid wsp:val=&quot;00063B02&quot;/&gt;&lt;wsp:rsid wsp:val=&quot;00064451&quot;/&gt;&lt;wsp:rsid wsp:val=&quot;000644D2&quot;/&gt;&lt;wsp:rsid wsp:val=&quot;00064B1A&quot;/&gt;&lt;wsp:rsid wsp:val=&quot;00064C42&quot;/&gt;&lt;wsp:rsid wsp:val=&quot;0006521D&quot;/&gt;&lt;wsp:rsid wsp:val=&quot;000665A1&quot;/&gt;&lt;wsp:rsid wsp:val=&quot;00066734&quot;/&gt;&lt;wsp:rsid wsp:val=&quot;00066FEC&quot;/&gt;&lt;wsp:rsid wsp:val=&quot;00067428&quot;/&gt;&lt;wsp:rsid wsp:val=&quot;0007023A&quot;/&gt;&lt;wsp:rsid wsp:val=&quot;00070538&quot;/&gt;&lt;wsp:rsid wsp:val=&quot;00070999&quot;/&gt;&lt;wsp:rsid wsp:val=&quot;00070BFF&quot;/&gt;&lt;wsp:rsid wsp:val=&quot;00071103&quot;/&gt;&lt;wsp:rsid wsp:val=&quot;000711D8&quot;/&gt;&lt;wsp:rsid wsp:val=&quot;000714ED&quot;/&gt;&lt;wsp:rsid wsp:val=&quot;000720E9&quot;/&gt;&lt;wsp:rsid wsp:val=&quot;000720F7&quot;/&gt;&lt;wsp:rsid wsp:val=&quot;00072498&quot;/&gt;&lt;wsp:rsid wsp:val=&quot;0007305D&quot;/&gt;&lt;wsp:rsid wsp:val=&quot;00073614&quot;/&gt;&lt;wsp:rsid wsp:val=&quot;0007485D&quot;/&gt;&lt;wsp:rsid wsp:val=&quot;00074880&quot;/&gt;&lt;wsp:rsid wsp:val=&quot;00074AC2&quot;/&gt;&lt;wsp:rsid wsp:val=&quot;00074C9E&quot;/&gt;&lt;wsp:rsid wsp:val=&quot;00075029&quot;/&gt;&lt;wsp:rsid wsp:val=&quot;00075295&quot;/&gt;&lt;wsp:rsid wsp:val=&quot;00076130&quot;/&gt;&lt;wsp:rsid wsp:val=&quot;00076453&quot;/&gt;&lt;wsp:rsid wsp:val=&quot;000776E1&quot;/&gt;&lt;wsp:rsid wsp:val=&quot;000801BD&quot;/&gt;&lt;wsp:rsid wsp:val=&quot;00081134&quot;/&gt;&lt;wsp:rsid wsp:val=&quot;00081A20&quot;/&gt;&lt;wsp:rsid wsp:val=&quot;00081B37&quot;/&gt;&lt;wsp:rsid wsp:val=&quot;00082DD0&quot;/&gt;&lt;wsp:rsid wsp:val=&quot;00082DD2&quot;/&gt;&lt;wsp:rsid wsp:val=&quot;0008329A&quot;/&gt;&lt;wsp:rsid wsp:val=&quot;000838EB&quot;/&gt;&lt;wsp:rsid wsp:val=&quot;00083977&quot;/&gt;&lt;wsp:rsid wsp:val=&quot;00083F53&quot;/&gt;&lt;wsp:rsid wsp:val=&quot;00084E86&quot;/&gt;&lt;wsp:rsid wsp:val=&quot;00085C15&quot;/&gt;&lt;wsp:rsid wsp:val=&quot;00085DC6&quot;/&gt;&lt;wsp:rsid wsp:val=&quot;00087C03&quot;/&gt;&lt;wsp:rsid wsp:val=&quot;00091321&quot;/&gt;&lt;wsp:rsid wsp:val=&quot;000929D0&quot;/&gt;&lt;wsp:rsid wsp:val=&quot;00094001&quot;/&gt;&lt;wsp:rsid wsp:val=&quot;00094DA2&quot;/&gt;&lt;wsp:rsid wsp:val=&quot;00094DA5&quot;/&gt;&lt;wsp:rsid wsp:val=&quot;00095E21&quot;/&gt;&lt;wsp:rsid wsp:val=&quot;0009637C&quot;/&gt;&lt;wsp:rsid wsp:val=&quot;0009695D&quot;/&gt;&lt;wsp:rsid wsp:val=&quot;00096D8C&quot;/&gt;&lt;wsp:rsid wsp:val=&quot;00096E3D&quot;/&gt;&lt;wsp:rsid wsp:val=&quot;00097935&quot;/&gt;&lt;wsp:rsid wsp:val=&quot;00097B10&quot;/&gt;&lt;wsp:rsid wsp:val=&quot;000A0A5F&quot;/&gt;&lt;wsp:rsid wsp:val=&quot;000A2A63&quot;/&gt;&lt;wsp:rsid wsp:val=&quot;000A3732&quot;/&gt;&lt;wsp:rsid wsp:val=&quot;000A3EA4&quot;/&gt;&lt;wsp:rsid wsp:val=&quot;000A5F7D&quot;/&gt;&lt;wsp:rsid wsp:val=&quot;000A667E&quot;/&gt;&lt;wsp:rsid wsp:val=&quot;000A6FFB&quot;/&gt;&lt;wsp:rsid wsp:val=&quot;000A7A6C&quot;/&gt;&lt;wsp:rsid wsp:val=&quot;000A7F9D&quot;/&gt;&lt;wsp:rsid wsp:val=&quot;000B0561&quot;/&gt;&lt;wsp:rsid wsp:val=&quot;000B1589&quot;/&gt;&lt;wsp:rsid wsp:val=&quot;000B16B8&quot;/&gt;&lt;wsp:rsid wsp:val=&quot;000B1721&quot;/&gt;&lt;wsp:rsid wsp:val=&quot;000B18A3&quot;/&gt;&lt;wsp:rsid wsp:val=&quot;000B1F5B&quot;/&gt;&lt;wsp:rsid wsp:val=&quot;000B34EC&quot;/&gt;&lt;wsp:rsid wsp:val=&quot;000B429D&quot;/&gt;&lt;wsp:rsid wsp:val=&quot;000B4C1C&quot;/&gt;&lt;wsp:rsid wsp:val=&quot;000B4CF3&quot;/&gt;&lt;wsp:rsid wsp:val=&quot;000B51C5&quot;/&gt;&lt;wsp:rsid wsp:val=&quot;000B589D&quot;/&gt;&lt;wsp:rsid wsp:val=&quot;000B5C1F&quot;/&gt;&lt;wsp:rsid wsp:val=&quot;000B6160&quot;/&gt;&lt;wsp:rsid wsp:val=&quot;000B7313&quot;/&gt;&lt;wsp:rsid wsp:val=&quot;000B7D84&quot;/&gt;&lt;wsp:rsid wsp:val=&quot;000C08EA&quot;/&gt;&lt;wsp:rsid wsp:val=&quot;000C0C7A&quot;/&gt;&lt;wsp:rsid wsp:val=&quot;000C213C&quot;/&gt;&lt;wsp:rsid wsp:val=&quot;000C2350&quot;/&gt;&lt;wsp:rsid wsp:val=&quot;000C2847&quot;/&gt;&lt;wsp:rsid wsp:val=&quot;000C2D5A&quot;/&gt;&lt;wsp:rsid wsp:val=&quot;000C3670&quot;/&gt;&lt;wsp:rsid wsp:val=&quot;000C3DA6&quot;/&gt;&lt;wsp:rsid wsp:val=&quot;000C4336&quot;/&gt;&lt;wsp:rsid wsp:val=&quot;000C4F7C&quot;/&gt;&lt;wsp:rsid wsp:val=&quot;000C523B&quot;/&gt;&lt;wsp:rsid wsp:val=&quot;000C5BC3&quot;/&gt;&lt;wsp:rsid wsp:val=&quot;000C64DD&quot;/&gt;&lt;wsp:rsid wsp:val=&quot;000C65B7&quot;/&gt;&lt;wsp:rsid wsp:val=&quot;000C6CD0&quot;/&gt;&lt;wsp:rsid wsp:val=&quot;000C753D&quot;/&gt;&lt;wsp:rsid wsp:val=&quot;000C794D&quot;/&gt;&lt;wsp:rsid wsp:val=&quot;000C7A13&quot;/&gt;&lt;wsp:rsid wsp:val=&quot;000D09FC&quot;/&gt;&lt;wsp:rsid wsp:val=&quot;000D1626&quot;/&gt;&lt;wsp:rsid wsp:val=&quot;000D1BD3&quot;/&gt;&lt;wsp:rsid wsp:val=&quot;000D226B&quot;/&gt;&lt;wsp:rsid wsp:val=&quot;000D2BB4&quot;/&gt;&lt;wsp:rsid wsp:val=&quot;000D441F&quot;/&gt;&lt;wsp:rsid wsp:val=&quot;000D47BB&quot;/&gt;&lt;wsp:rsid wsp:val=&quot;000D58FD&quot;/&gt;&lt;wsp:rsid wsp:val=&quot;000D61F8&quot;/&gt;&lt;wsp:rsid wsp:val=&quot;000D66A0&quot;/&gt;&lt;wsp:rsid wsp:val=&quot;000D789E&quot;/&gt;&lt;wsp:rsid wsp:val=&quot;000D7D61&quot;/&gt;&lt;wsp:rsid wsp:val=&quot;000E1AB5&quot;/&gt;&lt;wsp:rsid wsp:val=&quot;000E30DD&quot;/&gt;&lt;wsp:rsid wsp:val=&quot;000E3306&quot;/&gt;&lt;wsp:rsid wsp:val=&quot;000E3557&quot;/&gt;&lt;wsp:rsid wsp:val=&quot;000E356F&quot;/&gt;&lt;wsp:rsid wsp:val=&quot;000E376A&quot;/&gt;&lt;wsp:rsid wsp:val=&quot;000E3B80&quot;/&gt;&lt;wsp:rsid wsp:val=&quot;000E3D27&quot;/&gt;&lt;wsp:rsid wsp:val=&quot;000E4F41&quot;/&gt;&lt;wsp:rsid wsp:val=&quot;000E52C9&quot;/&gt;&lt;wsp:rsid wsp:val=&quot;000E5C21&quot;/&gt;&lt;wsp:rsid wsp:val=&quot;000E5F9A&quot;/&gt;&lt;wsp:rsid wsp:val=&quot;000E610F&quot;/&gt;&lt;wsp:rsid wsp:val=&quot;000E6287&quot;/&gt;&lt;wsp:rsid wsp:val=&quot;000E660C&quot;/&gt;&lt;wsp:rsid wsp:val=&quot;000E673F&quot;/&gt;&lt;wsp:rsid wsp:val=&quot;000E6CAB&quot;/&gt;&lt;wsp:rsid wsp:val=&quot;000E73BF&quot;/&gt;&lt;wsp:rsid wsp:val=&quot;000F06DC&quot;/&gt;&lt;wsp:rsid wsp:val=&quot;000F074B&quot;/&gt;&lt;wsp:rsid wsp:val=&quot;000F0E5D&quot;/&gt;&lt;wsp:rsid wsp:val=&quot;000F1FE4&quot;/&gt;&lt;wsp:rsid wsp:val=&quot;000F2685&quot;/&gt;&lt;wsp:rsid wsp:val=&quot;000F40B9&quot;/&gt;&lt;wsp:rsid wsp:val=&quot;000F512D&quot;/&gt;&lt;wsp:rsid wsp:val=&quot;000F57A9&quot;/&gt;&lt;wsp:rsid wsp:val=&quot;000F59BD&quot;/&gt;&lt;wsp:rsid wsp:val=&quot;000F6042&quot;/&gt;&lt;wsp:rsid wsp:val=&quot;000F605B&quot;/&gt;&lt;wsp:rsid wsp:val=&quot;000F71D5&quot;/&gt;&lt;wsp:rsid wsp:val=&quot;000F7927&quot;/&gt;&lt;wsp:rsid wsp:val=&quot;000F7A34&quot;/&gt;&lt;wsp:rsid wsp:val=&quot;000F7A6B&quot;/&gt;&lt;wsp:rsid wsp:val=&quot;000F7F5A&quot;/&gt;&lt;wsp:rsid wsp:val=&quot;00101351&quot;/&gt;&lt;wsp:rsid wsp:val=&quot;001016F2&quot;/&gt;&lt;wsp:rsid wsp:val=&quot;00101C9F&quot;/&gt;&lt;wsp:rsid wsp:val=&quot;00103352&quot;/&gt;&lt;wsp:rsid wsp:val=&quot;00103729&quot;/&gt;&lt;wsp:rsid wsp:val=&quot;00103C34&quot;/&gt;&lt;wsp:rsid wsp:val=&quot;0010409A&quot;/&gt;&lt;wsp:rsid wsp:val=&quot;001048F1&quot;/&gt;&lt;wsp:rsid wsp:val=&quot;00104ED2&quot;/&gt;&lt;wsp:rsid wsp:val=&quot;0010575C&quot;/&gt;&lt;wsp:rsid wsp:val=&quot;0010579F&quot;/&gt;&lt;wsp:rsid wsp:val=&quot;00105DC3&quot;/&gt;&lt;wsp:rsid wsp:val=&quot;00105E2F&quot;/&gt;&lt;wsp:rsid wsp:val=&quot;00106B2D&quot;/&gt;&lt;wsp:rsid wsp:val=&quot;00106FD5&quot;/&gt;&lt;wsp:rsid wsp:val=&quot;00110180&quot;/&gt;&lt;wsp:rsid wsp:val=&quot;001111ED&quot;/&gt;&lt;wsp:rsid wsp:val=&quot;0011135C&quot;/&gt;&lt;wsp:rsid wsp:val=&quot;00111DAE&quot;/&gt;&lt;wsp:rsid wsp:val=&quot;0011258B&quot;/&gt;&lt;wsp:rsid wsp:val=&quot;0011280A&quot;/&gt;&lt;wsp:rsid wsp:val=&quot;0011282A&quot;/&gt;&lt;wsp:rsid wsp:val=&quot;00114389&quot;/&gt;&lt;wsp:rsid wsp:val=&quot;00114583&quot;/&gt;&lt;wsp:rsid wsp:val=&quot;00114BBA&quot;/&gt;&lt;wsp:rsid wsp:val=&quot;00115336&quot;/&gt;&lt;wsp:rsid wsp:val=&quot;00115590&quot;/&gt;&lt;wsp:rsid wsp:val=&quot;00115D22&quot;/&gt;&lt;wsp:rsid wsp:val=&quot;0011626F&quot;/&gt;&lt;wsp:rsid wsp:val=&quot;00116A1C&quot;/&gt;&lt;wsp:rsid wsp:val=&quot;00117F7A&quot;/&gt;&lt;wsp:rsid wsp:val=&quot;00120305&quot;/&gt;&lt;wsp:rsid wsp:val=&quot;00120596&quot;/&gt;&lt;wsp:rsid wsp:val=&quot;001212BE&quot;/&gt;&lt;wsp:rsid wsp:val=&quot;00121AEE&quot;/&gt;&lt;wsp:rsid wsp:val=&quot;00121B71&quot;/&gt;&lt;wsp:rsid wsp:val=&quot;00122599&quot;/&gt;&lt;wsp:rsid wsp:val=&quot;00123A45&quot;/&gt;&lt;wsp:rsid wsp:val=&quot;00123CD6&quot;/&gt;&lt;wsp:rsid wsp:val=&quot;00124692&quot;/&gt;&lt;wsp:rsid wsp:val=&quot;0012473C&quot;/&gt;&lt;wsp:rsid wsp:val=&quot;00125AC4&quot;/&gt;&lt;wsp:rsid wsp:val=&quot;00126F28&quot;/&gt;&lt;wsp:rsid wsp:val=&quot;00127091&quot;/&gt;&lt;wsp:rsid wsp:val=&quot;001303C2&quot;/&gt;&lt;wsp:rsid wsp:val=&quot;001312BA&quot;/&gt;&lt;wsp:rsid wsp:val=&quot;00131B33&quot;/&gt;&lt;wsp:rsid wsp:val=&quot;00132028&quot;/&gt;&lt;wsp:rsid wsp:val=&quot;00132666&quot;/&gt;&lt;wsp:rsid wsp:val=&quot;00133238&quot;/&gt;&lt;wsp:rsid wsp:val=&quot;00134C71&quot;/&gt;&lt;wsp:rsid wsp:val=&quot;00135A2C&quot;/&gt;&lt;wsp:rsid wsp:val=&quot;00135AA0&quot;/&gt;&lt;wsp:rsid wsp:val=&quot;00136FBD&quot;/&gt;&lt;wsp:rsid wsp:val=&quot;00137EFB&quot;/&gt;&lt;wsp:rsid wsp:val=&quot;001404FE&quot;/&gt;&lt;wsp:rsid wsp:val=&quot;00140C8D&quot;/&gt;&lt;wsp:rsid wsp:val=&quot;00141304&quot;/&gt;&lt;wsp:rsid wsp:val=&quot;0014144C&quot;/&gt;&lt;wsp:rsid wsp:val=&quot;0014185B&quot;/&gt;&lt;wsp:rsid wsp:val=&quot;0014190C&quot;/&gt;&lt;wsp:rsid wsp:val=&quot;001426B0&quot;/&gt;&lt;wsp:rsid wsp:val=&quot;001428CA&quot;/&gt;&lt;wsp:rsid wsp:val=&quot;0014310D&quot;/&gt;&lt;wsp:rsid wsp:val=&quot;00143AF5&quot;/&gt;&lt;wsp:rsid wsp:val=&quot;00143ED0&quot;/&gt;&lt;wsp:rsid wsp:val=&quot;00143FAB&quot;/&gt;&lt;wsp:rsid wsp:val=&quot;00144721&quot;/&gt;&lt;wsp:rsid wsp:val=&quot;0014596E&quot;/&gt;&lt;wsp:rsid wsp:val=&quot;00145CD3&quot;/&gt;&lt;wsp:rsid wsp:val=&quot;001474E2&quot;/&gt;&lt;wsp:rsid wsp:val=&quot;00147C82&quot;/&gt;&lt;wsp:rsid wsp:val=&quot;001517F2&quot;/&gt;&lt;wsp:rsid wsp:val=&quot;00154D07&quot;/&gt;&lt;wsp:rsid wsp:val=&quot;0015562B&quot;/&gt;&lt;wsp:rsid wsp:val=&quot;001569BE&quot;/&gt;&lt;wsp:rsid wsp:val=&quot;00156B90&quot;/&gt;&lt;wsp:rsid wsp:val=&quot;00156DB1&quot;/&gt;&lt;wsp:rsid wsp:val=&quot;00157332&quot;/&gt;&lt;wsp:rsid wsp:val=&quot;00157DB6&quot;/&gt;&lt;wsp:rsid wsp:val=&quot;001607D7&quot;/&gt;&lt;wsp:rsid wsp:val=&quot;00160B4E&quot;/&gt;&lt;wsp:rsid wsp:val=&quot;00160B64&quot;/&gt;&lt;wsp:rsid wsp:val=&quot;00160C12&quot;/&gt;&lt;wsp:rsid wsp:val=&quot;00161A77&quot;/&gt;&lt;wsp:rsid wsp:val=&quot;0016225D&quot;/&gt;&lt;wsp:rsid wsp:val=&quot;00162840&quot;/&gt;&lt;wsp:rsid wsp:val=&quot;00162EF8&quot;/&gt;&lt;wsp:rsid wsp:val=&quot;00163267&quot;/&gt;&lt;wsp:rsid wsp:val=&quot;00163FEB&quot;/&gt;&lt;wsp:rsid wsp:val=&quot;001640BF&quot;/&gt;&lt;wsp:rsid wsp:val=&quot;0016410F&quot;/&gt;&lt;wsp:rsid wsp:val=&quot;0016460D&quot;/&gt;&lt;wsp:rsid wsp:val=&quot;00164A2D&quot;/&gt;&lt;wsp:rsid wsp:val=&quot;00164C5E&quot;/&gt;&lt;wsp:rsid wsp:val=&quot;00165146&quot;/&gt;&lt;wsp:rsid wsp:val=&quot;00166E97&quot;/&gt;&lt;wsp:rsid wsp:val=&quot;00166F24&quot;/&gt;&lt;wsp:rsid wsp:val=&quot;00167A30&quot;/&gt;&lt;wsp:rsid wsp:val=&quot;00167C7B&quot;/&gt;&lt;wsp:rsid wsp:val=&quot;00167E15&quot;/&gt;&lt;wsp:rsid wsp:val=&quot;00170211&quot;/&gt;&lt;wsp:rsid wsp:val=&quot;00170230&quot;/&gt;&lt;wsp:rsid wsp:val=&quot;00170595&quot;/&gt;&lt;wsp:rsid wsp:val=&quot;00171149&quot;/&gt;&lt;wsp:rsid wsp:val=&quot;001712EF&quot;/&gt;&lt;wsp:rsid wsp:val=&quot;00171970&quot;/&gt;&lt;wsp:rsid wsp:val=&quot;00171F9C&quot;/&gt;&lt;wsp:rsid wsp:val=&quot;00172125&quot;/&gt;&lt;wsp:rsid wsp:val=&quot;00172235&quot;/&gt;&lt;wsp:rsid wsp:val=&quot;00172632&quot;/&gt;&lt;wsp:rsid wsp:val=&quot;00173021&quot;/&gt;&lt;wsp:rsid wsp:val=&quot;00174676&quot;/&gt;&lt;wsp:rsid wsp:val=&quot;00174ACB&quot;/&gt;&lt;wsp:rsid wsp:val=&quot;00175C0C&quot;/&gt;&lt;wsp:rsid wsp:val=&quot;00175D8B&quot;/&gt;&lt;wsp:rsid wsp:val=&quot;0017670E&quot;/&gt;&lt;wsp:rsid wsp:val=&quot;00176765&quot;/&gt;&lt;wsp:rsid wsp:val=&quot;001772D0&quot;/&gt;&lt;wsp:rsid wsp:val=&quot;00177C24&quot;/&gt;&lt;wsp:rsid wsp:val=&quot;00177C4F&quot;/&gt;&lt;wsp:rsid wsp:val=&quot;00177E5C&quot;/&gt;&lt;wsp:rsid wsp:val=&quot;00180353&quot;/&gt;&lt;wsp:rsid wsp:val=&quot;00181305&quot;/&gt;&lt;wsp:rsid wsp:val=&quot;00181435&quot;/&gt;&lt;wsp:rsid wsp:val=&quot;001823A4&quot;/&gt;&lt;wsp:rsid wsp:val=&quot;00182614&quot;/&gt;&lt;wsp:rsid wsp:val=&quot;00183587&quot;/&gt;&lt;wsp:rsid wsp:val=&quot;00184E4F&quot;/&gt;&lt;wsp:rsid wsp:val=&quot;00185B77&quot;/&gt;&lt;wsp:rsid wsp:val=&quot;00186290&quot;/&gt;&lt;wsp:rsid wsp:val=&quot;00186605&quot;/&gt;&lt;wsp:rsid wsp:val=&quot;00186AFE&quot;/&gt;&lt;wsp:rsid wsp:val=&quot;00187401&quot;/&gt;&lt;wsp:rsid wsp:val=&quot;00187822&quot;/&gt;&lt;wsp:rsid wsp:val=&quot;00191487&quot;/&gt;&lt;wsp:rsid wsp:val=&quot;001915F0&quot;/&gt;&lt;wsp:rsid wsp:val=&quot;0019223E&quot;/&gt;&lt;wsp:rsid wsp:val=&quot;0019278B&quot;/&gt;&lt;wsp:rsid wsp:val=&quot;00192ACD&quot;/&gt;&lt;wsp:rsid wsp:val=&quot;00193636&quot;/&gt;&lt;wsp:rsid wsp:val=&quot;00193BA7&quot;/&gt;&lt;wsp:rsid wsp:val=&quot;001942C2&quot;/&gt;&lt;wsp:rsid wsp:val=&quot;0019453D&quot;/&gt;&lt;wsp:rsid wsp:val=&quot;00194FB9&quot;/&gt;&lt;wsp:rsid wsp:val=&quot;00195356&quot;/&gt;&lt;wsp:rsid wsp:val=&quot;0019546E&quot;/&gt;&lt;wsp:rsid wsp:val=&quot;0019632A&quot;/&gt;&lt;wsp:rsid wsp:val=&quot;001977A3&quot;/&gt;&lt;wsp:rsid wsp:val=&quot;00197EA6&quot;/&gt;&lt;wsp:rsid wsp:val=&quot;001A044C&quot;/&gt;&lt;wsp:rsid wsp:val=&quot;001A12AE&quot;/&gt;&lt;wsp:rsid wsp:val=&quot;001A1633&quot;/&gt;&lt;wsp:rsid wsp:val=&quot;001A2DD8&quot;/&gt;&lt;wsp:rsid wsp:val=&quot;001A2E5A&quot;/&gt;&lt;wsp:rsid wsp:val=&quot;001A3D0C&quot;/&gt;&lt;wsp:rsid wsp:val=&quot;001A40C1&quot;/&gt;&lt;wsp:rsid wsp:val=&quot;001A49B4&quot;/&gt;&lt;wsp:rsid wsp:val=&quot;001A4BFA&quot;/&gt;&lt;wsp:rsid wsp:val=&quot;001A5312&quot;/&gt;&lt;wsp:rsid wsp:val=&quot;001A675C&quot;/&gt;&lt;wsp:rsid wsp:val=&quot;001A6956&quot;/&gt;&lt;wsp:rsid wsp:val=&quot;001A7852&quot;/&gt;&lt;wsp:rsid wsp:val=&quot;001A7CB2&quot;/&gt;&lt;wsp:rsid wsp:val=&quot;001B09D1&quot;/&gt;&lt;wsp:rsid wsp:val=&quot;001B20A7&quot;/&gt;&lt;wsp:rsid wsp:val=&quot;001B2916&quot;/&gt;&lt;wsp:rsid wsp:val=&quot;001B4A37&quot;/&gt;&lt;wsp:rsid wsp:val=&quot;001B5489&quot;/&gt;&lt;wsp:rsid wsp:val=&quot;001B5F0A&quot;/&gt;&lt;wsp:rsid wsp:val=&quot;001B6163&quot;/&gt;&lt;wsp:rsid wsp:val=&quot;001B6E49&quot;/&gt;&lt;wsp:rsid wsp:val=&quot;001B71B0&quot;/&gt;&lt;wsp:rsid wsp:val=&quot;001B7664&quot;/&gt;&lt;wsp:rsid wsp:val=&quot;001B7B3B&quot;/&gt;&lt;wsp:rsid wsp:val=&quot;001B7E72&quot;/&gt;&lt;wsp:rsid wsp:val=&quot;001C07E9&quot;/&gt;&lt;wsp:rsid wsp:val=&quot;001C134C&quot;/&gt;&lt;wsp:rsid wsp:val=&quot;001C22D7&quot;/&gt;&lt;wsp:rsid wsp:val=&quot;001C2E99&quot;/&gt;&lt;wsp:rsid wsp:val=&quot;001C3559&quot;/&gt;&lt;wsp:rsid wsp:val=&quot;001C35BF&quot;/&gt;&lt;wsp:rsid wsp:val=&quot;001C5883&quot;/&gt;&lt;wsp:rsid wsp:val=&quot;001C5FF2&quot;/&gt;&lt;wsp:rsid wsp:val=&quot;001C7BE9&quot;/&gt;&lt;wsp:rsid wsp:val=&quot;001D0CA2&quot;/&gt;&lt;wsp:rsid wsp:val=&quot;001D124A&quot;/&gt;&lt;wsp:rsid wsp:val=&quot;001D1BE6&quot;/&gt;&lt;wsp:rsid wsp:val=&quot;001D292D&quot;/&gt;&lt;wsp:rsid wsp:val=&quot;001D2C30&quot;/&gt;&lt;wsp:rsid wsp:val=&quot;001D3327&quot;/&gt;&lt;wsp:rsid wsp:val=&quot;001D3A36&quot;/&gt;&lt;wsp:rsid wsp:val=&quot;001D43BA&quot;/&gt;&lt;wsp:rsid wsp:val=&quot;001D4EBB&quot;/&gt;&lt;wsp:rsid wsp:val=&quot;001D55F9&quot;/&gt;&lt;wsp:rsid wsp:val=&quot;001D65E1&quot;/&gt;&lt;wsp:rsid wsp:val=&quot;001D6BEB&quot;/&gt;&lt;wsp:rsid wsp:val=&quot;001D7AE7&quot;/&gt;&lt;wsp:rsid wsp:val=&quot;001E1A52&quot;/&gt;&lt;wsp:rsid wsp:val=&quot;001E1D62&quot;/&gt;&lt;wsp:rsid wsp:val=&quot;001E2878&quot;/&gt;&lt;wsp:rsid wsp:val=&quot;001E2D13&quot;/&gt;&lt;wsp:rsid wsp:val=&quot;001E2FFE&quot;/&gt;&lt;wsp:rsid wsp:val=&quot;001E317E&quot;/&gt;&lt;wsp:rsid wsp:val=&quot;001E5BF3&quot;/&gt;&lt;wsp:rsid wsp:val=&quot;001E5F84&quot;/&gt;&lt;wsp:rsid wsp:val=&quot;001E5FAB&quot;/&gt;&lt;wsp:rsid wsp:val=&quot;001E6005&quot;/&gt;&lt;wsp:rsid wsp:val=&quot;001E67AE&quot;/&gt;&lt;wsp:rsid wsp:val=&quot;001E6A81&quot;/&gt;&lt;wsp:rsid wsp:val=&quot;001E77AE&quot;/&gt;&lt;wsp:rsid wsp:val=&quot;001F136A&quot;/&gt;&lt;wsp:rsid wsp:val=&quot;001F1557&quot;/&gt;&lt;wsp:rsid wsp:val=&quot;001F22FC&quot;/&gt;&lt;wsp:rsid wsp:val=&quot;001F3203&quot;/&gt;&lt;wsp:rsid wsp:val=&quot;001F4A60&quot;/&gt;&lt;wsp:rsid wsp:val=&quot;001F7451&quot;/&gt;&lt;wsp:rsid wsp:val=&quot;002016B4&quot;/&gt;&lt;wsp:rsid wsp:val=&quot;00201E79&quot;/&gt;&lt;wsp:rsid wsp:val=&quot;00201F3C&quot;/&gt;&lt;wsp:rsid wsp:val=&quot;00202FBF&quot;/&gt;&lt;wsp:rsid wsp:val=&quot;00203B78&quot;/&gt;&lt;wsp:rsid wsp:val=&quot;00203FE2&quot;/&gt;&lt;wsp:rsid wsp:val=&quot;00204921&quot;/&gt;&lt;wsp:rsid wsp:val=&quot;00204EEF&quot;/&gt;&lt;wsp:rsid wsp:val=&quot;00205656&quot;/&gt;&lt;wsp:rsid wsp:val=&quot;00205701&quot;/&gt;&lt;wsp:rsid wsp:val=&quot;00205A39&quot;/&gt;&lt;wsp:rsid wsp:val=&quot;00206086&quot;/&gt;&lt;wsp:rsid wsp:val=&quot;002064D5&quot;/&gt;&lt;wsp:rsid wsp:val=&quot;002069C0&quot;/&gt;&lt;wsp:rsid wsp:val=&quot;002075CC&quot;/&gt;&lt;wsp:rsid wsp:val=&quot;00207B4C&quot;/&gt;&lt;wsp:rsid wsp:val=&quot;00210327&quot;/&gt;&lt;wsp:rsid wsp:val=&quot;00211303&quot;/&gt;&lt;wsp:rsid wsp:val=&quot;002120D1&quot;/&gt;&lt;wsp:rsid wsp:val=&quot;00213167&quot;/&gt;&lt;wsp:rsid wsp:val=&quot;00213297&quot;/&gt;&lt;wsp:rsid wsp:val=&quot;00213559&quot;/&gt;&lt;wsp:rsid wsp:val=&quot;00213630&quot;/&gt;&lt;wsp:rsid wsp:val=&quot;002136FA&quot;/&gt;&lt;wsp:rsid wsp:val=&quot;00213FE1&quot;/&gt;&lt;wsp:rsid wsp:val=&quot;002147D6&quot;/&gt;&lt;wsp:rsid wsp:val=&quot;00214C21&quot;/&gt;&lt;wsp:rsid wsp:val=&quot;002155B1&quot;/&gt;&lt;wsp:rsid wsp:val=&quot;00215710&quot;/&gt;&lt;wsp:rsid wsp:val=&quot;00216F4C&quot;/&gt;&lt;wsp:rsid wsp:val=&quot;00217532&quot;/&gt;&lt;wsp:rsid wsp:val=&quot;00217BCB&quot;/&gt;&lt;wsp:rsid wsp:val=&quot;002205FF&quot;/&gt;&lt;wsp:rsid wsp:val=&quot;00220660&quot;/&gt;&lt;wsp:rsid wsp:val=&quot;002208BF&quot;/&gt;&lt;wsp:rsid wsp:val=&quot;00221387&quot;/&gt;&lt;wsp:rsid wsp:val=&quot;0022145A&quot;/&gt;&lt;wsp:rsid wsp:val=&quot;00223DB1&quot;/&gt;&lt;wsp:rsid wsp:val=&quot;002247E9&quot;/&gt;&lt;wsp:rsid wsp:val=&quot;002250E7&quot;/&gt;&lt;wsp:rsid wsp:val=&quot;002254F3&quot;/&gt;&lt;wsp:rsid wsp:val=&quot;00225E14&quot;/&gt;&lt;wsp:rsid wsp:val=&quot;002262D3&quot;/&gt;&lt;wsp:rsid wsp:val=&quot;00226BB7&quot;/&gt;&lt;wsp:rsid wsp:val=&quot;00226C3F&quot;/&gt;&lt;wsp:rsid wsp:val=&quot;00227BE6&quot;/&gt;&lt;wsp:rsid wsp:val=&quot;00227C67&quot;/&gt;&lt;wsp:rsid wsp:val=&quot;00227FD9&quot;/&gt;&lt;wsp:rsid wsp:val=&quot;00230124&quot;/&gt;&lt;wsp:rsid wsp:val=&quot;00230D37&quot;/&gt;&lt;wsp:rsid wsp:val=&quot;00231375&quot;/&gt;&lt;wsp:rsid wsp:val=&quot;00231FD6&quot;/&gt;&lt;wsp:rsid wsp:val=&quot;00232652&quot;/&gt;&lt;wsp:rsid wsp:val=&quot;00235701&quot;/&gt;&lt;wsp:rsid wsp:val=&quot;00235B29&quot;/&gt;&lt;wsp:rsid wsp:val=&quot;00235E51&quot;/&gt;&lt;wsp:rsid wsp:val=&quot;002360B0&quot;/&gt;&lt;wsp:rsid wsp:val=&quot;002364DC&quot;/&gt;&lt;wsp:rsid wsp:val=&quot;002367CA&quot;/&gt;&lt;wsp:rsid wsp:val=&quot;00236CD1&quot;/&gt;&lt;wsp:rsid wsp:val=&quot;00236EFE&quot;/&gt;&lt;wsp:rsid wsp:val=&quot;00237E89&quot;/&gt;&lt;wsp:rsid wsp:val=&quot;0024047F&quot;/&gt;&lt;wsp:rsid wsp:val=&quot;002404F8&quot;/&gt;&lt;wsp:rsid wsp:val=&quot;0024097F&quot;/&gt;&lt;wsp:rsid wsp:val=&quot;00240A25&quot;/&gt;&lt;wsp:rsid wsp:val=&quot;00240D22&quot;/&gt;&lt;wsp:rsid wsp:val=&quot;002411CD&quot;/&gt;&lt;wsp:rsid wsp:val=&quot;00241C81&quot;/&gt;&lt;wsp:rsid wsp:val=&quot;0024220B&quot;/&gt;&lt;wsp:rsid wsp:val=&quot;002431E0&quot;/&gt;&lt;wsp:rsid wsp:val=&quot;00243B04&quot;/&gt;&lt;wsp:rsid wsp:val=&quot;00243DD4&quot;/&gt;&lt;wsp:rsid wsp:val=&quot;00244EFC&quot;/&gt;&lt;wsp:rsid wsp:val=&quot;002459E0&quot;/&gt;&lt;wsp:rsid wsp:val=&quot;00245BCF&quot;/&gt;&lt;wsp:rsid wsp:val=&quot;00245D2A&quot;/&gt;&lt;wsp:rsid wsp:val=&quot;002460B1&quot;/&gt;&lt;wsp:rsid wsp:val=&quot;002479B9&quot;/&gt;&lt;wsp:rsid wsp:val=&quot;00250301&quot;/&gt;&lt;wsp:rsid wsp:val=&quot;002505DE&quot;/&gt;&lt;wsp:rsid wsp:val=&quot;00250F1C&quot;/&gt;&lt;wsp:rsid wsp:val=&quot;00251009&quot;/&gt;&lt;wsp:rsid wsp:val=&quot;00251CEC&quot;/&gt;&lt;wsp:rsid wsp:val=&quot;002529DD&quot;/&gt;&lt;wsp:rsid wsp:val=&quot;00252B40&quot;/&gt;&lt;wsp:rsid wsp:val=&quot;00254369&quot;/&gt;&lt;wsp:rsid wsp:val=&quot;00254A94&quot;/&gt;&lt;wsp:rsid wsp:val=&quot;002550EA&quot;/&gt;&lt;wsp:rsid wsp:val=&quot;002551B5&quot;/&gt;&lt;wsp:rsid wsp:val=&quot;00255AC4&quot;/&gt;&lt;wsp:rsid wsp:val=&quot;0025728C&quot;/&gt;&lt;wsp:rsid wsp:val=&quot;00260674&quot;/&gt;&lt;wsp:rsid wsp:val=&quot;0026198F&quot;/&gt;&lt;wsp:rsid wsp:val=&quot;0026259D&quot;/&gt;&lt;wsp:rsid wsp:val=&quot;0026362A&quot;/&gt;&lt;wsp:rsid wsp:val=&quot;00264408&quot;/&gt;&lt;wsp:rsid wsp:val=&quot;00264838&quot;/&gt;&lt;wsp:rsid wsp:val=&quot;00264C34&quot;/&gt;&lt;wsp:rsid wsp:val=&quot;0026503E&quot;/&gt;&lt;wsp:rsid wsp:val=&quot;0026564C&quot;/&gt;&lt;wsp:rsid wsp:val=&quot;00265D7A&quot;/&gt;&lt;wsp:rsid wsp:val=&quot;00265E26&quot;/&gt;&lt;wsp:rsid wsp:val=&quot;00266952&quot;/&gt;&lt;wsp:rsid wsp:val=&quot;002669CB&quot;/&gt;&lt;wsp:rsid wsp:val=&quot;00267D7C&quot;/&gt;&lt;wsp:rsid wsp:val=&quot;00267E54&quot;/&gt;&lt;wsp:rsid wsp:val=&quot;00271288&quot;/&gt;&lt;wsp:rsid wsp:val=&quot;00271B26&quot;/&gt;&lt;wsp:rsid wsp:val=&quot;00272277&quot;/&gt;&lt;wsp:rsid wsp:val=&quot;00273364&quot;/&gt;&lt;wsp:rsid wsp:val=&quot;002733CD&quot;/&gt;&lt;wsp:rsid wsp:val=&quot;0027395C&quot;/&gt;&lt;wsp:rsid wsp:val=&quot;00273AA2&quot;/&gt;&lt;wsp:rsid wsp:val=&quot;002758D7&quot;/&gt;&lt;wsp:rsid wsp:val=&quot;0027650D&quot;/&gt;&lt;wsp:rsid wsp:val=&quot;00276903&quot;/&gt;&lt;wsp:rsid wsp:val=&quot;00276BA2&quot;/&gt;&lt;wsp:rsid wsp:val=&quot;002777F6&quot;/&gt;&lt;wsp:rsid wsp:val=&quot;002800C6&quot;/&gt;&lt;wsp:rsid wsp:val=&quot;0028043C&quot;/&gt;&lt;wsp:rsid wsp:val=&quot;002804E0&quot;/&gt;&lt;wsp:rsid wsp:val=&quot;00280AB0&quot;/&gt;&lt;wsp:rsid wsp:val=&quot;00280B29&quot;/&gt;&lt;wsp:rsid wsp:val=&quot;00281281&quot;/&gt;&lt;wsp:rsid wsp:val=&quot;00281688&quot;/&gt;&lt;wsp:rsid wsp:val=&quot;002824A2&quot;/&gt;&lt;wsp:rsid wsp:val=&quot;002824B5&quot;/&gt;&lt;wsp:rsid wsp:val=&quot;0028292D&quot;/&gt;&lt;wsp:rsid wsp:val=&quot;00282ECF&quot;/&gt;&lt;wsp:rsid wsp:val=&quot;00282F01&quot;/&gt;&lt;wsp:rsid wsp:val=&quot;00283C20&quot;/&gt;&lt;wsp:rsid wsp:val=&quot;00284118&quot;/&gt;&lt;wsp:rsid wsp:val=&quot;002855C4&quot;/&gt;&lt;wsp:rsid wsp:val=&quot;00285A21&quot;/&gt;&lt;wsp:rsid wsp:val=&quot;00285FFE&quot;/&gt;&lt;wsp:rsid wsp:val=&quot;002861BA&quot;/&gt;&lt;wsp:rsid wsp:val=&quot;0028641E&quot;/&gt;&lt;wsp:rsid wsp:val=&quot;00286483&quot;/&gt;&lt;wsp:rsid wsp:val=&quot;002869D8&quot;/&gt;&lt;wsp:rsid wsp:val=&quot;00286D61&quot;/&gt;&lt;wsp:rsid wsp:val=&quot;0028746E&quot;/&gt;&lt;wsp:rsid wsp:val=&quot;0029036C&quot;/&gt;&lt;wsp:rsid wsp:val=&quot;00290A58&quot;/&gt;&lt;wsp:rsid wsp:val=&quot;00290B24&quot;/&gt;&lt;wsp:rsid wsp:val=&quot;00290C35&quot;/&gt;&lt;wsp:rsid wsp:val=&quot;00291703&quot;/&gt;&lt;wsp:rsid wsp:val=&quot;00292674&quot;/&gt;&lt;wsp:rsid wsp:val=&quot;002927E8&quot;/&gt;&lt;wsp:rsid wsp:val=&quot;00292B77&quot;/&gt;&lt;wsp:rsid wsp:val=&quot;00295651&quot;/&gt;&lt;wsp:rsid wsp:val=&quot;00295AEC&quot;/&gt;&lt;wsp:rsid wsp:val=&quot;00295F37&quot;/&gt;&lt;wsp:rsid wsp:val=&quot;0029607C&quot;/&gt;&lt;wsp:rsid wsp:val=&quot;00296B71&quot;/&gt;&lt;wsp:rsid wsp:val=&quot;00296DB3&quot;/&gt;&lt;wsp:rsid wsp:val=&quot;002975ED&quot;/&gt;&lt;wsp:rsid wsp:val=&quot;002A0715&quot;/&gt;&lt;wsp:rsid wsp:val=&quot;002A10BD&quot;/&gt;&lt;wsp:rsid wsp:val=&quot;002A1435&quot;/&gt;&lt;wsp:rsid wsp:val=&quot;002A1663&quot;/&gt;&lt;wsp:rsid wsp:val=&quot;002A2230&quot;/&gt;&lt;wsp:rsid wsp:val=&quot;002A2592&quot;/&gt;&lt;wsp:rsid wsp:val=&quot;002A2767&quot;/&gt;&lt;wsp:rsid wsp:val=&quot;002A302A&quot;/&gt;&lt;wsp:rsid wsp:val=&quot;002A37FE&quot;/&gt;&lt;wsp:rsid wsp:val=&quot;002A3F26&quot;/&gt;&lt;wsp:rsid wsp:val=&quot;002A66AB&quot;/&gt;&lt;wsp:rsid wsp:val=&quot;002A7335&quot;/&gt;&lt;wsp:rsid wsp:val=&quot;002A77C1&quot;/&gt;&lt;wsp:rsid wsp:val=&quot;002A79A3&quot;/&gt;&lt;wsp:rsid wsp:val=&quot;002A7A37&quot;/&gt;&lt;wsp:rsid wsp:val=&quot;002B092B&quot;/&gt;&lt;wsp:rsid wsp:val=&quot;002B136A&quot;/&gt;&lt;wsp:rsid wsp:val=&quot;002B1547&quot;/&gt;&lt;wsp:rsid wsp:val=&quot;002B1DA4&quot;/&gt;&lt;wsp:rsid wsp:val=&quot;002B1F53&quot;/&gt;&lt;wsp:rsid wsp:val=&quot;002B20A2&quot;/&gt;&lt;wsp:rsid wsp:val=&quot;002B2BF5&quot;/&gt;&lt;wsp:rsid wsp:val=&quot;002B3C26&quot;/&gt;&lt;wsp:rsid wsp:val=&quot;002B430E&quot;/&gt;&lt;wsp:rsid wsp:val=&quot;002B4424&quot;/&gt;&lt;wsp:rsid wsp:val=&quot;002B5E01&quot;/&gt;&lt;wsp:rsid wsp:val=&quot;002B703F&quot;/&gt;&lt;wsp:rsid wsp:val=&quot;002B718D&quot;/&gt;&lt;wsp:rsid wsp:val=&quot;002B7195&quot;/&gt;&lt;wsp:rsid wsp:val=&quot;002B7A36&quot;/&gt;&lt;wsp:rsid wsp:val=&quot;002C1026&quot;/&gt;&lt;wsp:rsid wsp:val=&quot;002C2767&quot;/&gt;&lt;wsp:rsid wsp:val=&quot;002C3429&quot;/&gt;&lt;wsp:rsid wsp:val=&quot;002C4C62&quot;/&gt;&lt;wsp:rsid wsp:val=&quot;002C4CB7&quot;/&gt;&lt;wsp:rsid wsp:val=&quot;002C551E&quot;/&gt;&lt;wsp:rsid wsp:val=&quot;002C5E0E&quot;/&gt;&lt;wsp:rsid wsp:val=&quot;002C617C&quot;/&gt;&lt;wsp:rsid wsp:val=&quot;002C69EF&quot;/&gt;&lt;wsp:rsid wsp:val=&quot;002C6A32&quot;/&gt;&lt;wsp:rsid wsp:val=&quot;002C6C47&quot;/&gt;&lt;wsp:rsid wsp:val=&quot;002D1CFD&quot;/&gt;&lt;wsp:rsid wsp:val=&quot;002D24FA&quot;/&gt;&lt;wsp:rsid wsp:val=&quot;002D2659&quot;/&gt;&lt;wsp:rsid wsp:val=&quot;002D33BE&quot;/&gt;&lt;wsp:rsid wsp:val=&quot;002D345A&quot;/&gt;&lt;wsp:rsid wsp:val=&quot;002D3635&quot;/&gt;&lt;wsp:rsid wsp:val=&quot;002D4370&quot;/&gt;&lt;wsp:rsid wsp:val=&quot;002D479C&quot;/&gt;&lt;wsp:rsid wsp:val=&quot;002D47D8&quot;/&gt;&lt;wsp:rsid wsp:val=&quot;002D5295&quot;/&gt;&lt;wsp:rsid wsp:val=&quot;002D599D&quot;/&gt;&lt;wsp:rsid wsp:val=&quot;002D72D3&quot;/&gt;&lt;wsp:rsid wsp:val=&quot;002D732F&quot;/&gt;&lt;wsp:rsid wsp:val=&quot;002D7776&quot;/&gt;&lt;wsp:rsid wsp:val=&quot;002D783E&quot;/&gt;&lt;wsp:rsid wsp:val=&quot;002E05C2&quot;/&gt;&lt;wsp:rsid wsp:val=&quot;002E0C7D&quot;/&gt;&lt;wsp:rsid wsp:val=&quot;002E0CE1&quot;/&gt;&lt;wsp:rsid wsp:val=&quot;002E0F7D&quot;/&gt;&lt;wsp:rsid wsp:val=&quot;002E23EA&quot;/&gt;&lt;wsp:rsid wsp:val=&quot;002E263E&quot;/&gt;&lt;wsp:rsid wsp:val=&quot;002E3A6A&quot;/&gt;&lt;wsp:rsid wsp:val=&quot;002E3C99&quot;/&gt;&lt;wsp:rsid wsp:val=&quot;002E3DBB&quot;/&gt;&lt;wsp:rsid wsp:val=&quot;002E52C2&quot;/&gt;&lt;wsp:rsid wsp:val=&quot;002E69F2&quot;/&gt;&lt;wsp:rsid wsp:val=&quot;002E7153&quot;/&gt;&lt;wsp:rsid wsp:val=&quot;002F00DF&quot;/&gt;&lt;wsp:rsid wsp:val=&quot;002F0C16&quot;/&gt;&lt;wsp:rsid wsp:val=&quot;002F0F96&quot;/&gt;&lt;wsp:rsid wsp:val=&quot;002F141E&quot;/&gt;&lt;wsp:rsid wsp:val=&quot;002F180C&quot;/&gt;&lt;wsp:rsid wsp:val=&quot;002F1EDD&quot;/&gt;&lt;wsp:rsid wsp:val=&quot;002F25B4&quot;/&gt;&lt;wsp:rsid wsp:val=&quot;002F3BF6&quot;/&gt;&lt;wsp:rsid wsp:val=&quot;002F3D6B&quot;/&gt;&lt;wsp:rsid wsp:val=&quot;002F41B3&quot;/&gt;&lt;wsp:rsid wsp:val=&quot;002F47DB&quot;/&gt;&lt;wsp:rsid wsp:val=&quot;002F66B7&quot;/&gt;&lt;wsp:rsid wsp:val=&quot;002F6BB0&quot;/&gt;&lt;wsp:rsid wsp:val=&quot;002F6CD9&quot;/&gt;&lt;wsp:rsid wsp:val=&quot;002F7D3B&quot;/&gt;&lt;wsp:rsid wsp:val=&quot;0030003D&quot;/&gt;&lt;wsp:rsid wsp:val=&quot;0030039D&quot;/&gt;&lt;wsp:rsid wsp:val=&quot;0030157F&quot;/&gt;&lt;wsp:rsid wsp:val=&quot;00301D28&quot;/&gt;&lt;wsp:rsid wsp:val=&quot;0030215D&quot;/&gt;&lt;wsp:rsid wsp:val=&quot;0030298D&quot;/&gt;&lt;wsp:rsid wsp:val=&quot;00302D4D&quot;/&gt;&lt;wsp:rsid wsp:val=&quot;00303253&quot;/&gt;&lt;wsp:rsid wsp:val=&quot;00303491&quot;/&gt;&lt;wsp:rsid wsp:val=&quot;00303813&quot;/&gt;&lt;wsp:rsid wsp:val=&quot;00303859&quot;/&gt;&lt;wsp:rsid wsp:val=&quot;003038BE&quot;/&gt;&lt;wsp:rsid wsp:val=&quot;00303B02&quot;/&gt;&lt;wsp:rsid wsp:val=&quot;00303FBF&quot;/&gt;&lt;wsp:rsid wsp:val=&quot;00304212&quot;/&gt;&lt;wsp:rsid wsp:val=&quot;0030448F&quot;/&gt;&lt;wsp:rsid wsp:val=&quot;00306E2B&quot;/&gt;&lt;wsp:rsid wsp:val=&quot;00307386&quot;/&gt;&lt;wsp:rsid wsp:val=&quot;00307750&quot;/&gt;&lt;wsp:rsid wsp:val=&quot;003112BE&quot;/&gt;&lt;wsp:rsid wsp:val=&quot;0031168C&quot;/&gt;&lt;wsp:rsid wsp:val=&quot;00311719&quot;/&gt;&lt;wsp:rsid wsp:val=&quot;003117B9&quot;/&gt;&lt;wsp:rsid wsp:val=&quot;003119F0&quot;/&gt;&lt;wsp:rsid wsp:val=&quot;0031290A&quot;/&gt;&lt;wsp:rsid wsp:val=&quot;00312D6E&quot;/&gt;&lt;wsp:rsid wsp:val=&quot;00313253&quot;/&gt;&lt;wsp:rsid wsp:val=&quot;00313BED&quot;/&gt;&lt;wsp:rsid wsp:val=&quot;0031415F&quot;/&gt;&lt;wsp:rsid wsp:val=&quot;003157C4&quot;/&gt;&lt;wsp:rsid wsp:val=&quot;00316465&quot;/&gt;&lt;wsp:rsid wsp:val=&quot;00316676&quot;/&gt;&lt;wsp:rsid wsp:val=&quot;00316786&quot;/&gt;&lt;wsp:rsid wsp:val=&quot;00316C4E&quot;/&gt;&lt;wsp:rsid wsp:val=&quot;0031731C&quot;/&gt;&lt;wsp:rsid wsp:val=&quot;00317320&quot;/&gt;&lt;wsp:rsid wsp:val=&quot;00317FBC&quot;/&gt;&lt;wsp:rsid wsp:val=&quot;00320197&quot;/&gt;&lt;wsp:rsid wsp:val=&quot;00320907&quot;/&gt;&lt;wsp:rsid wsp:val=&quot;00320E63&quot;/&gt;&lt;wsp:rsid wsp:val=&quot;00321F3C&quot;/&gt;&lt;wsp:rsid wsp:val=&quot;0032226D&quot;/&gt;&lt;wsp:rsid wsp:val=&quot;00322F69&quot;/&gt;&lt;wsp:rsid wsp:val=&quot;003232AD&quot;/&gt;&lt;wsp:rsid wsp:val=&quot;003243D2&quot;/&gt;&lt;wsp:rsid wsp:val=&quot;00324C9E&quot;/&gt;&lt;wsp:rsid wsp:val=&quot;00324EE1&quot;/&gt;&lt;wsp:rsid wsp:val=&quot;00325297&quot;/&gt;&lt;wsp:rsid wsp:val=&quot;00325931&quot;/&gt;&lt;wsp:rsid wsp:val=&quot;0032769B&quot;/&gt;&lt;wsp:rsid wsp:val=&quot;00327B0E&quot;/&gt;&lt;wsp:rsid wsp:val=&quot;0033005E&quot;/&gt;&lt;wsp:rsid wsp:val=&quot;00330DE8&quot;/&gt;&lt;wsp:rsid wsp:val=&quot;00330FD6&quot;/&gt;&lt;wsp:rsid wsp:val=&quot;003311B2&quot;/&gt;&lt;wsp:rsid wsp:val=&quot;00331B43&quot;/&gt;&lt;wsp:rsid wsp:val=&quot;0033347C&quot;/&gt;&lt;wsp:rsid wsp:val=&quot;003334F0&quot;/&gt;&lt;wsp:rsid wsp:val=&quot;00333812&quot;/&gt;&lt;wsp:rsid wsp:val=&quot;003338ED&quot;/&gt;&lt;wsp:rsid wsp:val=&quot;00334124&quot;/&gt;&lt;wsp:rsid wsp:val=&quot;00334E1B&quot;/&gt;&lt;wsp:rsid wsp:val=&quot;00335B7C&quot;/&gt;&lt;wsp:rsid wsp:val=&quot;00336D5F&quot;/&gt;&lt;wsp:rsid wsp:val=&quot;00336EC7&quot;/&gt;&lt;wsp:rsid wsp:val=&quot;00337F97&quot;/&gt;&lt;wsp:rsid wsp:val=&quot;00340EE5&quot;/&gt;&lt;wsp:rsid wsp:val=&quot;003418B2&quot;/&gt;&lt;wsp:rsid wsp:val=&quot;00341CC0&quot;/&gt;&lt;wsp:rsid wsp:val=&quot;00343116&quot;/&gt;&lt;wsp:rsid wsp:val=&quot;00344D0D&quot;/&gt;&lt;wsp:rsid wsp:val=&quot;00345B93&quot;/&gt;&lt;wsp:rsid wsp:val=&quot;003465A3&quot;/&gt;&lt;wsp:rsid wsp:val=&quot;00346E7C&quot;/&gt;&lt;wsp:rsid wsp:val=&quot;00346E91&quot;/&gt;&lt;wsp:rsid wsp:val=&quot;00347279&quot;/&gt;&lt;wsp:rsid wsp:val=&quot;0034794B&quot;/&gt;&lt;wsp:rsid wsp:val=&quot;00347FA4&quot;/&gt;&lt;wsp:rsid wsp:val=&quot;00347FCC&quot;/&gt;&lt;wsp:rsid wsp:val=&quot;00350AA2&quot;/&gt;&lt;wsp:rsid wsp:val=&quot;0035117D&quot;/&gt;&lt;wsp:rsid wsp:val=&quot;00351185&quot;/&gt;&lt;wsp:rsid wsp:val=&quot;003511EA&quot;/&gt;&lt;wsp:rsid wsp:val=&quot;00351364&quot;/&gt;&lt;wsp:rsid wsp:val=&quot;00352392&quot;/&gt;&lt;wsp:rsid wsp:val=&quot;0035255A&quot;/&gt;&lt;wsp:rsid wsp:val=&quot;00352A03&quot;/&gt;&lt;wsp:rsid wsp:val=&quot;00352B62&quot;/&gt;&lt;wsp:rsid wsp:val=&quot;003536E2&quot;/&gt;&lt;wsp:rsid wsp:val=&quot;003538E5&quot;/&gt;&lt;wsp:rsid wsp:val=&quot;00353C92&quot;/&gt;&lt;wsp:rsid wsp:val=&quot;00354216&quot;/&gt;&lt;wsp:rsid wsp:val=&quot;00354E3E&quot;/&gt;&lt;wsp:rsid wsp:val=&quot;00354E71&quot;/&gt;&lt;wsp:rsid wsp:val=&quot;0035523B&quot;/&gt;&lt;wsp:rsid wsp:val=&quot;00355D68&quot;/&gt;&lt;wsp:rsid wsp:val=&quot;003568CB&quot;/&gt;&lt;wsp:rsid wsp:val=&quot;00356BE5&quot;/&gt;&lt;wsp:rsid wsp:val=&quot;003572CA&quot;/&gt;&lt;wsp:rsid wsp:val=&quot;00360895&quot;/&gt;&lt;wsp:rsid wsp:val=&quot;00361134&quot;/&gt;&lt;wsp:rsid wsp:val=&quot;0036184B&quot;/&gt;&lt;wsp:rsid wsp:val=&quot;003620E5&quot;/&gt;&lt;wsp:rsid wsp:val=&quot;003622B9&quot;/&gt;&lt;wsp:rsid wsp:val=&quot;00362676&quot;/&gt;&lt;wsp:rsid wsp:val=&quot;00362B58&quot;/&gt;&lt;wsp:rsid wsp:val=&quot;0036367E&quot;/&gt;&lt;wsp:rsid wsp:val=&quot;00364747&quot;/&gt;&lt;wsp:rsid wsp:val=&quot;003649ED&quot;/&gt;&lt;wsp:rsid wsp:val=&quot;00364A33&quot;/&gt;&lt;wsp:rsid wsp:val=&quot;003659F9&quot;/&gt;&lt;wsp:rsid wsp:val=&quot;00365E38&quot;/&gt;&lt;wsp:rsid wsp:val=&quot;00366294&quot;/&gt;&lt;wsp:rsid wsp:val=&quot;003667DE&quot;/&gt;&lt;wsp:rsid wsp:val=&quot;003676AE&quot;/&gt;&lt;wsp:rsid wsp:val=&quot;00367E31&quot;/&gt;&lt;wsp:rsid wsp:val=&quot;003704CF&quot;/&gt;&lt;wsp:rsid wsp:val=&quot;00371216&quot;/&gt;&lt;wsp:rsid wsp:val=&quot;00371DB5&quot;/&gt;&lt;wsp:rsid wsp:val=&quot;00372FD7&quot;/&gt;&lt;wsp:rsid wsp:val=&quot;00373371&quot;/&gt;&lt;wsp:rsid wsp:val=&quot;003744E3&quot;/&gt;&lt;wsp:rsid wsp:val=&quot;00375692&quot;/&gt;&lt;wsp:rsid wsp:val=&quot;00375CC7&quot;/&gt;&lt;wsp:rsid wsp:val=&quot;00376039&quot;/&gt;&lt;wsp:rsid wsp:val=&quot;00376C0D&quot;/&gt;&lt;wsp:rsid wsp:val=&quot;00376C34&quot;/&gt;&lt;wsp:rsid wsp:val=&quot;003777C3&quot;/&gt;&lt;wsp:rsid wsp:val=&quot;00377A58&quot;/&gt;&lt;wsp:rsid wsp:val=&quot;00377BF7&quot;/&gt;&lt;wsp:rsid wsp:val=&quot;003801D4&quot;/&gt;&lt;wsp:rsid wsp:val=&quot;0038057B&quot;/&gt;&lt;wsp:rsid wsp:val=&quot;00380BAA&quot;/&gt;&lt;wsp:rsid wsp:val=&quot;00380EAB&quot;/&gt;&lt;wsp:rsid wsp:val=&quot;00381B3C&quot;/&gt;&lt;wsp:rsid wsp:val=&quot;00381B5C&quot;/&gt;&lt;wsp:rsid wsp:val=&quot;0038202B&quot;/&gt;&lt;wsp:rsid wsp:val=&quot;00382761&quot;/&gt;&lt;wsp:rsid wsp:val=&quot;00382BDF&quot;/&gt;&lt;wsp:rsid wsp:val=&quot;00383892&quot;/&gt;&lt;wsp:rsid wsp:val=&quot;00383E68&quot;/&gt;&lt;wsp:rsid wsp:val=&quot;00383EE3&quot;/&gt;&lt;wsp:rsid wsp:val=&quot;003847F3&quot;/&gt;&lt;wsp:rsid wsp:val=&quot;00384833&quot;/&gt;&lt;wsp:rsid wsp:val=&quot;00384924&quot;/&gt;&lt;wsp:rsid wsp:val=&quot;00385C47&quot;/&gt;&lt;wsp:rsid wsp:val=&quot;00385D52&quot;/&gt;&lt;wsp:rsid wsp:val=&quot;00385E03&quot;/&gt;&lt;wsp:rsid wsp:val=&quot;003861A2&quot;/&gt;&lt;wsp:rsid wsp:val=&quot;00386752&quot;/&gt;&lt;wsp:rsid wsp:val=&quot;00386EBD&quot;/&gt;&lt;wsp:rsid wsp:val=&quot;00391B91&quot;/&gt;&lt;wsp:rsid wsp:val=&quot;00391D40&quot;/&gt;&lt;wsp:rsid wsp:val=&quot;003920B6&quot;/&gt;&lt;wsp:rsid wsp:val=&quot;003921A5&quot;/&gt;&lt;wsp:rsid wsp:val=&quot;003926BC&quot;/&gt;&lt;wsp:rsid wsp:val=&quot;00392976&quot;/&gt;&lt;wsp:rsid wsp:val=&quot;00392B62&quot;/&gt;&lt;wsp:rsid wsp:val=&quot;00393335&quot;/&gt;&lt;wsp:rsid wsp:val=&quot;003934FC&quot;/&gt;&lt;wsp:rsid wsp:val=&quot;00393971&quot;/&gt;&lt;wsp:rsid wsp:val=&quot;003939E2&quot;/&gt;&lt;wsp:rsid wsp:val=&quot;00393DE0&quot;/&gt;&lt;wsp:rsid wsp:val=&quot;00393EF0&quot;/&gt;&lt;wsp:rsid wsp:val=&quot;0039468E&quot;/&gt;&lt;wsp:rsid wsp:val=&quot;00394C64&quot;/&gt;&lt;wsp:rsid wsp:val=&quot;00394D0F&quot;/&gt;&lt;wsp:rsid wsp:val=&quot;003950C8&quot;/&gt;&lt;wsp:rsid wsp:val=&quot;003967CF&quot;/&gt;&lt;wsp:rsid wsp:val=&quot;0039767E&quot;/&gt;&lt;wsp:rsid wsp:val=&quot;00397AB1&quot;/&gt;&lt;wsp:rsid wsp:val=&quot;003A0554&quot;/&gt;&lt;wsp:rsid wsp:val=&quot;003A0B69&quot;/&gt;&lt;wsp:rsid wsp:val=&quot;003A0C70&quot;/&gt;&lt;wsp:rsid wsp:val=&quot;003A2002&quot;/&gt;&lt;wsp:rsid wsp:val=&quot;003A205A&quot;/&gt;&lt;wsp:rsid wsp:val=&quot;003A26CF&quot;/&gt;&lt;wsp:rsid wsp:val=&quot;003A27CB&quot;/&gt;&lt;wsp:rsid wsp:val=&quot;003A3A83&quot;/&gt;&lt;wsp:rsid wsp:val=&quot;003A3B56&quot;/&gt;&lt;wsp:rsid wsp:val=&quot;003A3F37&quot;/&gt;&lt;wsp:rsid wsp:val=&quot;003A476D&quot;/&gt;&lt;wsp:rsid wsp:val=&quot;003A4FC5&quot;/&gt;&lt;wsp:rsid wsp:val=&quot;003A500C&quot;/&gt;&lt;wsp:rsid wsp:val=&quot;003A5F48&quot;/&gt;&lt;wsp:rsid wsp:val=&quot;003A5FBA&quot;/&gt;&lt;wsp:rsid wsp:val=&quot;003A79D0&quot;/&gt;&lt;wsp:rsid wsp:val=&quot;003B0854&quot;/&gt;&lt;wsp:rsid wsp:val=&quot;003B0BF8&quot;/&gt;&lt;wsp:rsid wsp:val=&quot;003B0F46&quot;/&gt;&lt;wsp:rsid wsp:val=&quot;003B2E90&quot;/&gt;&lt;wsp:rsid wsp:val=&quot;003B3BF6&quot;/&gt;&lt;wsp:rsid wsp:val=&quot;003B3E27&quot;/&gt;&lt;wsp:rsid wsp:val=&quot;003B51C1&quot;/&gt;&lt;wsp:rsid wsp:val=&quot;003B5E95&quot;/&gt;&lt;wsp:rsid wsp:val=&quot;003B6066&quot;/&gt;&lt;wsp:rsid wsp:val=&quot;003B667E&quot;/&gt;&lt;wsp:rsid wsp:val=&quot;003B7692&quot;/&gt;&lt;wsp:rsid wsp:val=&quot;003C063B&quot;/&gt;&lt;wsp:rsid wsp:val=&quot;003C07AE&quot;/&gt;&lt;wsp:rsid wsp:val=&quot;003C18B6&quot;/&gt;&lt;wsp:rsid wsp:val=&quot;003C1971&quot;/&gt;&lt;wsp:rsid wsp:val=&quot;003C26D4&quot;/&gt;&lt;wsp:rsid wsp:val=&quot;003C3168&quot;/&gt;&lt;wsp:rsid wsp:val=&quot;003C3A42&quot;/&gt;&lt;wsp:rsid wsp:val=&quot;003C42D6&quot;/&gt;&lt;wsp:rsid wsp:val=&quot;003C532F&quot;/&gt;&lt;wsp:rsid wsp:val=&quot;003C7462&quot;/&gt;&lt;wsp:rsid wsp:val=&quot;003C7BE6&quot;/&gt;&lt;wsp:rsid wsp:val=&quot;003D0DD7&quot;/&gt;&lt;wsp:rsid wsp:val=&quot;003D14E9&quot;/&gt;&lt;wsp:rsid wsp:val=&quot;003D19CE&quot;/&gt;&lt;wsp:rsid wsp:val=&quot;003D1BAD&quot;/&gt;&lt;wsp:rsid wsp:val=&quot;003D1BD8&quot;/&gt;&lt;wsp:rsid wsp:val=&quot;003D1C29&quot;/&gt;&lt;wsp:rsid wsp:val=&quot;003D26DB&quot;/&gt;&lt;wsp:rsid wsp:val=&quot;003D305E&quot;/&gt;&lt;wsp:rsid wsp:val=&quot;003D3197&quot;/&gt;&lt;wsp:rsid wsp:val=&quot;003D36CA&quot;/&gt;&lt;wsp:rsid wsp:val=&quot;003D39F2&quot;/&gt;&lt;wsp:rsid wsp:val=&quot;003D3CD0&quot;/&gt;&lt;wsp:rsid wsp:val=&quot;003D3EAA&quot;/&gt;&lt;wsp:rsid wsp:val=&quot;003D519F&quot;/&gt;&lt;wsp:rsid wsp:val=&quot;003D526F&quot;/&gt;&lt;wsp:rsid wsp:val=&quot;003D5CB0&quot;/&gt;&lt;wsp:rsid wsp:val=&quot;003D6C14&quot;/&gt;&lt;wsp:rsid wsp:val=&quot;003D72B1&quot;/&gt;&lt;wsp:rsid wsp:val=&quot;003E021E&quot;/&gt;&lt;wsp:rsid wsp:val=&quot;003E0B41&quot;/&gt;&lt;wsp:rsid wsp:val=&quot;003E0E5D&quot;/&gt;&lt;wsp:rsid wsp:val=&quot;003E0E8F&quot;/&gt;&lt;wsp:rsid wsp:val=&quot;003E1AB4&quot;/&gt;&lt;wsp:rsid wsp:val=&quot;003E2948&quot;/&gt;&lt;wsp:rsid wsp:val=&quot;003E2D21&quot;/&gt;&lt;wsp:rsid wsp:val=&quot;003E3056&quot;/&gt;&lt;wsp:rsid wsp:val=&quot;003E3552&quot;/&gt;&lt;wsp:rsid wsp:val=&quot;003E3B68&quot;/&gt;&lt;wsp:rsid wsp:val=&quot;003E48D1&quot;/&gt;&lt;wsp:rsid wsp:val=&quot;003E4DC0&quot;/&gt;&lt;wsp:rsid wsp:val=&quot;003E5008&quot;/&gt;&lt;wsp:rsid wsp:val=&quot;003E55D0&quot;/&gt;&lt;wsp:rsid wsp:val=&quot;003E671A&quot;/&gt;&lt;wsp:rsid wsp:val=&quot;003E7043&quot;/&gt;&lt;wsp:rsid wsp:val=&quot;003E7B7F&quot;/&gt;&lt;wsp:rsid wsp:val=&quot;003F0204&quot;/&gt;&lt;wsp:rsid wsp:val=&quot;003F0309&quot;/&gt;&lt;wsp:rsid wsp:val=&quot;003F13F0&quot;/&gt;&lt;wsp:rsid wsp:val=&quot;003F1D21&quot;/&gt;&lt;wsp:rsid wsp:val=&quot;003F1D63&quot;/&gt;&lt;wsp:rsid wsp:val=&quot;003F388E&quot;/&gt;&lt;wsp:rsid wsp:val=&quot;003F3AF2&quot;/&gt;&lt;wsp:rsid wsp:val=&quot;003F4662&quot;/&gt;&lt;wsp:rsid wsp:val=&quot;003F4D28&quot;/&gt;&lt;wsp:rsid wsp:val=&quot;003F4E20&quot;/&gt;&lt;wsp:rsid wsp:val=&quot;003F5D37&quot;/&gt;&lt;wsp:rsid wsp:val=&quot;003F64DA&quot;/&gt;&lt;wsp:rsid wsp:val=&quot;003F7AA2&quot;/&gt;&lt;wsp:rsid wsp:val=&quot;003F7D2C&quot;/&gt;&lt;wsp:rsid wsp:val=&quot;00400404&quot;/&gt;&lt;wsp:rsid wsp:val=&quot;004012FF&quot;/&gt;&lt;wsp:rsid wsp:val=&quot;00401481&quot;/&gt;&lt;wsp:rsid wsp:val=&quot;004027FA&quot;/&gt;&lt;wsp:rsid wsp:val=&quot;00402C66&quot;/&gt;&lt;wsp:rsid wsp:val=&quot;00403686&quot;/&gt;&lt;wsp:rsid wsp:val=&quot;00403CAA&quot;/&gt;&lt;wsp:rsid wsp:val=&quot;00404B7E&quot;/&gt;&lt;wsp:rsid wsp:val=&quot;00405233&quot;/&gt;&lt;wsp:rsid wsp:val=&quot;00405A03&quot;/&gt;&lt;wsp:rsid wsp:val=&quot;00405CB8&quot;/&gt;&lt;wsp:rsid wsp:val=&quot;0040641A&quot;/&gt;&lt;wsp:rsid wsp:val=&quot;004072CB&quot;/&gt;&lt;wsp:rsid wsp:val=&quot;0040745E&quot;/&gt;&lt;wsp:rsid wsp:val=&quot;00407C06&quot;/&gt;&lt;wsp:rsid wsp:val=&quot;0041007A&quot;/&gt;&lt;wsp:rsid wsp:val=&quot;00410B0A&quot;/&gt;&lt;wsp:rsid wsp:val=&quot;00410D07&quot;/&gt;&lt;wsp:rsid wsp:val=&quot;004111D7&quot;/&gt;&lt;wsp:rsid wsp:val=&quot;00411421&quot;/&gt;&lt;wsp:rsid wsp:val=&quot;0041143B&quot;/&gt;&lt;wsp:rsid wsp:val=&quot;00411A8A&quot;/&gt;&lt;wsp:rsid wsp:val=&quot;00411F22&quot;/&gt;&lt;wsp:rsid wsp:val=&quot;004124BF&quot;/&gt;&lt;wsp:rsid wsp:val=&quot;00412611&quot;/&gt;&lt;wsp:rsid wsp:val=&quot;00412FF9&quot;/&gt;&lt;wsp:rsid wsp:val=&quot;004133EE&quot;/&gt;&lt;wsp:rsid wsp:val=&quot;00413A21&quot;/&gt;&lt;wsp:rsid wsp:val=&quot;00414937&quot;/&gt;&lt;wsp:rsid wsp:val=&quot;00414E87&quot;/&gt;&lt;wsp:rsid wsp:val=&quot;0041502A&quot;/&gt;&lt;wsp:rsid wsp:val=&quot;00415610&quot;/&gt;&lt;wsp:rsid wsp:val=&quot;004160BB&quot;/&gt;&lt;wsp:rsid wsp:val=&quot;004167E0&quot;/&gt;&lt;wsp:rsid wsp:val=&quot;00417120&quot;/&gt;&lt;wsp:rsid wsp:val=&quot;00420686&quot;/&gt;&lt;wsp:rsid wsp:val=&quot;00420C9B&quot;/&gt;&lt;wsp:rsid wsp:val=&quot;00420EFE&quot;/&gt;&lt;wsp:rsid wsp:val=&quot;00421B27&quot;/&gt;&lt;wsp:rsid wsp:val=&quot;0042347B&quot;/&gt;&lt;wsp:rsid wsp:val=&quot;004243C3&quot;/&gt;&lt;wsp:rsid wsp:val=&quot;00424608&quot;/&gt;&lt;wsp:rsid wsp:val=&quot;00425007&quot;/&gt;&lt;wsp:rsid wsp:val=&quot;004256BE&quot;/&gt;&lt;wsp:rsid wsp:val=&quot;004257F3&quot;/&gt;&lt;wsp:rsid wsp:val=&quot;00426B8A&quot;/&gt;&lt;wsp:rsid wsp:val=&quot;00426D0B&quot;/&gt;&lt;wsp:rsid wsp:val=&quot;0042751C&quot;/&gt;&lt;wsp:rsid wsp:val=&quot;00427AC4&quot;/&gt;&lt;wsp:rsid wsp:val=&quot;004305CB&quot;/&gt;&lt;wsp:rsid wsp:val=&quot;004313CA&quot;/&gt;&lt;wsp:rsid wsp:val=&quot;00432386&quot;/&gt;&lt;wsp:rsid wsp:val=&quot;00432D72&quot;/&gt;&lt;wsp:rsid wsp:val=&quot;004331B6&quot;/&gt;&lt;wsp:rsid wsp:val=&quot;004346BD&quot;/&gt;&lt;wsp:rsid wsp:val=&quot;00435001&quot;/&gt;&lt;wsp:rsid wsp:val=&quot;0043611E&quot;/&gt;&lt;wsp:rsid wsp:val=&quot;0043619A&quot;/&gt;&lt;wsp:rsid wsp:val=&quot;004364D5&quot;/&gt;&lt;wsp:rsid wsp:val=&quot;00437354&quot;/&gt;&lt;wsp:rsid wsp:val=&quot;004379D5&quot;/&gt;&lt;wsp:rsid wsp:val=&quot;00440009&quot;/&gt;&lt;wsp:rsid wsp:val=&quot;00441B30&quot;/&gt;&lt;wsp:rsid wsp:val=&quot;00441FED&quot;/&gt;&lt;wsp:rsid wsp:val=&quot;00442034&quot;/&gt;&lt;wsp:rsid wsp:val=&quot;00442460&quot;/&gt;&lt;wsp:rsid wsp:val=&quot;00442542&quot;/&gt;&lt;wsp:rsid wsp:val=&quot;00443F2C&quot;/&gt;&lt;wsp:rsid wsp:val=&quot;00444B56&quot;/&gt;&lt;wsp:rsid wsp:val=&quot;00445007&quot;/&gt;&lt;wsp:rsid wsp:val=&quot;004463EA&quot;/&gt;&lt;wsp:rsid wsp:val=&quot;00446EFB&quot;/&gt;&lt;wsp:rsid wsp:val=&quot;00447E0D&quot;/&gt;&lt;wsp:rsid wsp:val=&quot;004504CD&quot;/&gt;&lt;wsp:rsid wsp:val=&quot;00450801&quot;/&gt;&lt;wsp:rsid wsp:val=&quot;00451316&quot;/&gt;&lt;wsp:rsid wsp:val=&quot;00451711&quot;/&gt;&lt;wsp:rsid wsp:val=&quot;00451BBC&quot;/&gt;&lt;wsp:rsid wsp:val=&quot;00452D88&quot;/&gt;&lt;wsp:rsid wsp:val=&quot;004536B6&quot;/&gt;&lt;wsp:rsid wsp:val=&quot;00453899&quot;/&gt;&lt;wsp:rsid wsp:val=&quot;00453E9C&quot;/&gt;&lt;wsp:rsid wsp:val=&quot;0045437D&quot;/&gt;&lt;wsp:rsid wsp:val=&quot;0045450D&quot;/&gt;&lt;wsp:rsid wsp:val=&quot;0045507E&quot;/&gt;&lt;wsp:rsid wsp:val=&quot;00455233&quot;/&gt;&lt;wsp:rsid wsp:val=&quot;004556CC&quot;/&gt;&lt;wsp:rsid wsp:val=&quot;00456EE3&quot;/&gt;&lt;wsp:rsid wsp:val=&quot;0045701C&quot;/&gt;&lt;wsp:rsid wsp:val=&quot;00460C00&quot;/&gt;&lt;wsp:rsid wsp:val=&quot;00460CF7&quot;/&gt;&lt;wsp:rsid wsp:val=&quot;00460D59&quot;/&gt;&lt;wsp:rsid wsp:val=&quot;004613FC&quot;/&gt;&lt;wsp:rsid wsp:val=&quot;00461A2B&quot;/&gt;&lt;wsp:rsid wsp:val=&quot;00461A44&quot;/&gt;&lt;wsp:rsid wsp:val=&quot;004621AC&quot;/&gt;&lt;wsp:rsid wsp:val=&quot;00462666&quot;/&gt;&lt;wsp:rsid wsp:val=&quot;00462B7F&quot;/&gt;&lt;wsp:rsid wsp:val=&quot;004631B0&quot;/&gt;&lt;wsp:rsid wsp:val=&quot;00466A46&quot;/&gt;&lt;wsp:rsid wsp:val=&quot;00466B2D&quot;/&gt;&lt;wsp:rsid wsp:val=&quot;00466F17&quot;/&gt;&lt;wsp:rsid wsp:val=&quot;004673D1&quot;/&gt;&lt;wsp:rsid wsp:val=&quot;00467973&quot;/&gt;&lt;wsp:rsid wsp:val=&quot;004703F3&quot;/&gt;&lt;wsp:rsid wsp:val=&quot;004727D9&quot;/&gt;&lt;wsp:rsid wsp:val=&quot;00473816&quot;/&gt;&lt;wsp:rsid wsp:val=&quot;00474A34&quot;/&gt;&lt;wsp:rsid wsp:val=&quot;00474BDD&quot;/&gt;&lt;wsp:rsid wsp:val=&quot;00474E48&quot;/&gt;&lt;wsp:rsid wsp:val=&quot;00475D30&quot;/&gt;&lt;wsp:rsid wsp:val=&quot;004770CF&quot;/&gt;&lt;wsp:rsid wsp:val=&quot;00480156&quot;/&gt;&lt;wsp:rsid wsp:val=&quot;00481396&quot;/&gt;&lt;wsp:rsid wsp:val=&quot;0048140F&quot;/&gt;&lt;wsp:rsid wsp:val=&quot;004816A5&quot;/&gt;&lt;wsp:rsid wsp:val=&quot;00481A91&quot;/&gt;&lt;wsp:rsid wsp:val=&quot;004822EF&quot;/&gt;&lt;wsp:rsid wsp:val=&quot;00482D5D&quot;/&gt;&lt;wsp:rsid wsp:val=&quot;004837E6&quot;/&gt;&lt;wsp:rsid wsp:val=&quot;00484094&quot;/&gt;&lt;wsp:rsid wsp:val=&quot;0048443B&quot;/&gt;&lt;wsp:rsid wsp:val=&quot;004855FE&quot;/&gt;&lt;wsp:rsid wsp:val=&quot;00487D2D&quot;/&gt;&lt;wsp:rsid wsp:val=&quot;00490766&quot;/&gt;&lt;wsp:rsid wsp:val=&quot;00490EB4&quot;/&gt;&lt;wsp:rsid wsp:val=&quot;00491714&quot;/&gt;&lt;wsp:rsid wsp:val=&quot;00491DF7&quot;/&gt;&lt;wsp:rsid wsp:val=&quot;00492838&quot;/&gt;&lt;wsp:rsid wsp:val=&quot;004938C1&quot;/&gt;&lt;wsp:rsid wsp:val=&quot;004940B3&quot;/&gt;&lt;wsp:rsid wsp:val=&quot;00494E00&quot;/&gt;&lt;wsp:rsid wsp:val=&quot;00494FD1&quot;/&gt;&lt;wsp:rsid wsp:val=&quot;00495BF7&quot;/&gt;&lt;wsp:rsid wsp:val=&quot;00495E77&quot;/&gt;&lt;wsp:rsid wsp:val=&quot;00496D64&quot;/&gt;&lt;wsp:rsid wsp:val=&quot;00497358&quot;/&gt;&lt;wsp:rsid wsp:val=&quot;00497E3B&quot;/&gt;&lt;wsp:rsid wsp:val=&quot;004A0358&quot;/&gt;&lt;wsp:rsid wsp:val=&quot;004A043F&quot;/&gt;&lt;wsp:rsid wsp:val=&quot;004A0742&quot;/&gt;&lt;wsp:rsid wsp:val=&quot;004A1EFE&quot;/&gt;&lt;wsp:rsid wsp:val=&quot;004A3550&quot;/&gt;&lt;wsp:rsid wsp:val=&quot;004A3D64&quot;/&gt;&lt;wsp:rsid wsp:val=&quot;004A4479&quot;/&gt;&lt;wsp:rsid wsp:val=&quot;004A45C2&quot;/&gt;&lt;wsp:rsid wsp:val=&quot;004A49E8&quot;/&gt;&lt;wsp:rsid wsp:val=&quot;004A4BB4&quot;/&gt;&lt;wsp:rsid wsp:val=&quot;004A4DB0&quot;/&gt;&lt;wsp:rsid wsp:val=&quot;004A4E31&quot;/&gt;&lt;wsp:rsid wsp:val=&quot;004A5E9B&quot;/&gt;&lt;wsp:rsid wsp:val=&quot;004A6958&quot;/&gt;&lt;wsp:rsid wsp:val=&quot;004A7536&quot;/&gt;&lt;wsp:rsid wsp:val=&quot;004A7B02&quot;/&gt;&lt;wsp:rsid wsp:val=&quot;004A7F70&quot;/&gt;&lt;wsp:rsid wsp:val=&quot;004B00D5&quot;/&gt;&lt;wsp:rsid wsp:val=&quot;004B01D4&quot;/&gt;&lt;wsp:rsid wsp:val=&quot;004B0575&quot;/&gt;&lt;wsp:rsid wsp:val=&quot;004B0638&quot;/&gt;&lt;wsp:rsid wsp:val=&quot;004B0A9F&quot;/&gt;&lt;wsp:rsid wsp:val=&quot;004B145E&quot;/&gt;&lt;wsp:rsid wsp:val=&quot;004B1E5F&quot;/&gt;&lt;wsp:rsid wsp:val=&quot;004B246B&quot;/&gt;&lt;wsp:rsid wsp:val=&quot;004B2580&quot;/&gt;&lt;wsp:rsid wsp:val=&quot;004B2798&quot;/&gt;&lt;wsp:rsid wsp:val=&quot;004B2AE3&quot;/&gt;&lt;wsp:rsid wsp:val=&quot;004B2BD7&quot;/&gt;&lt;wsp:rsid wsp:val=&quot;004B2D2A&quot;/&gt;&lt;wsp:rsid wsp:val=&quot;004B37F0&quot;/&gt;&lt;wsp:rsid wsp:val=&quot;004B3C05&quot;/&gt;&lt;wsp:rsid wsp:val=&quot;004B41AE&quot;/&gt;&lt;wsp:rsid wsp:val=&quot;004B4DA5&quot;/&gt;&lt;wsp:rsid wsp:val=&quot;004B50DA&quot;/&gt;&lt;wsp:rsid wsp:val=&quot;004B5E2D&quot;/&gt;&lt;wsp:rsid wsp:val=&quot;004B7141&quot;/&gt;&lt;wsp:rsid wsp:val=&quot;004B71E5&quot;/&gt;&lt;wsp:rsid wsp:val=&quot;004B75A7&quot;/&gt;&lt;wsp:rsid wsp:val=&quot;004B7A6D&quot;/&gt;&lt;wsp:rsid wsp:val=&quot;004B7DC9&quot;/&gt;&lt;wsp:rsid wsp:val=&quot;004B7FBC&quot;/&gt;&lt;wsp:rsid wsp:val=&quot;004C0B30&quot;/&gt;&lt;wsp:rsid wsp:val=&quot;004C16A6&quot;/&gt;&lt;wsp:rsid wsp:val=&quot;004C2853&quot;/&gt;&lt;wsp:rsid wsp:val=&quot;004C2AC8&quot;/&gt;&lt;wsp:rsid wsp:val=&quot;004C2ECC&quot;/&gt;&lt;wsp:rsid wsp:val=&quot;004C30A8&quot;/&gt;&lt;wsp:rsid wsp:val=&quot;004C40CA&quot;/&gt;&lt;wsp:rsid wsp:val=&quot;004C41E3&quot;/&gt;&lt;wsp:rsid wsp:val=&quot;004C47C1&quot;/&gt;&lt;wsp:rsid wsp:val=&quot;004C61B1&quot;/&gt;&lt;wsp:rsid wsp:val=&quot;004C6856&quot;/&gt;&lt;wsp:rsid wsp:val=&quot;004C6D76&quot;/&gt;&lt;wsp:rsid wsp:val=&quot;004C70E0&quot;/&gt;&lt;wsp:rsid wsp:val=&quot;004C797A&quot;/&gt;&lt;wsp:rsid wsp:val=&quot;004D1202&quot;/&gt;&lt;wsp:rsid wsp:val=&quot;004D198A&quot;/&gt;&lt;wsp:rsid wsp:val=&quot;004D22F4&quot;/&gt;&lt;wsp:rsid wsp:val=&quot;004D4466&quot;/&gt;&lt;wsp:rsid wsp:val=&quot;004D5765&quot;/&gt;&lt;wsp:rsid wsp:val=&quot;004D588F&quot;/&gt;&lt;wsp:rsid wsp:val=&quot;004D6D21&quot;/&gt;&lt;wsp:rsid wsp:val=&quot;004D7C72&quot;/&gt;&lt;wsp:rsid wsp:val=&quot;004E016C&quot;/&gt;&lt;wsp:rsid wsp:val=&quot;004E0815&quot;/&gt;&lt;wsp:rsid wsp:val=&quot;004E180C&quot;/&gt;&lt;wsp:rsid wsp:val=&quot;004E318D&quot;/&gt;&lt;wsp:rsid wsp:val=&quot;004E3E7D&quot;/&gt;&lt;wsp:rsid wsp:val=&quot;004E517F&quot;/&gt;&lt;wsp:rsid wsp:val=&quot;004E5239&quot;/&gt;&lt;wsp:rsid wsp:val=&quot;004E5776&quot;/&gt;&lt;wsp:rsid wsp:val=&quot;004E5B2B&quot;/&gt;&lt;wsp:rsid wsp:val=&quot;004E5CDD&quot;/&gt;&lt;wsp:rsid wsp:val=&quot;004E5DC4&quot;/&gt;&lt;wsp:rsid wsp:val=&quot;004E5ED8&quot;/&gt;&lt;wsp:rsid wsp:val=&quot;004E5F51&quot;/&gt;&lt;wsp:rsid wsp:val=&quot;004E656B&quot;/&gt;&lt;wsp:rsid wsp:val=&quot;004E71EA&quot;/&gt;&lt;wsp:rsid wsp:val=&quot;004E76AD&quot;/&gt;&lt;wsp:rsid wsp:val=&quot;004E7D96&quot;/&gt;&lt;wsp:rsid wsp:val=&quot;004F17D2&quot;/&gt;&lt;wsp:rsid wsp:val=&quot;004F347D&quot;/&gt;&lt;wsp:rsid wsp:val=&quot;004F3A3F&quot;/&gt;&lt;wsp:rsid wsp:val=&quot;004F3C7A&quot;/&gt;&lt;wsp:rsid wsp:val=&quot;004F3F61&quot;/&gt;&lt;wsp:rsid wsp:val=&quot;004F4A00&quot;/&gt;&lt;wsp:rsid wsp:val=&quot;004F5097&quot;/&gt;&lt;wsp:rsid wsp:val=&quot;004F5596&quot;/&gt;&lt;wsp:rsid wsp:val=&quot;004F5B4C&quot;/&gt;&lt;wsp:rsid wsp:val=&quot;004F5D90&quot;/&gt;&lt;wsp:rsid wsp:val=&quot;004F61CB&quot;/&gt;&lt;wsp:rsid wsp:val=&quot;004F6684&quot;/&gt;&lt;wsp:rsid wsp:val=&quot;004F6C66&quot;/&gt;&lt;wsp:rsid wsp:val=&quot;004F7851&quot;/&gt;&lt;wsp:rsid wsp:val=&quot;004F7EC3&quot;/&gt;&lt;wsp:rsid wsp:val=&quot;005011DA&quot;/&gt;&lt;wsp:rsid wsp:val=&quot;00501275&quot;/&gt;&lt;wsp:rsid wsp:val=&quot;00501297&quot;/&gt;&lt;wsp:rsid wsp:val=&quot;005015A7&quot;/&gt;&lt;wsp:rsid wsp:val=&quot;005019AE&quot;/&gt;&lt;wsp:rsid wsp:val=&quot;0050246A&quot;/&gt;&lt;wsp:rsid wsp:val=&quot;00502BBE&quot;/&gt;&lt;wsp:rsid wsp:val=&quot;00503121&quot;/&gt;&lt;wsp:rsid wsp:val=&quot;005031C0&quot;/&gt;&lt;wsp:rsid wsp:val=&quot;005035FD&quot;/&gt;&lt;wsp:rsid wsp:val=&quot;00503760&quot;/&gt;&lt;wsp:rsid wsp:val=&quot;005048A8&quot;/&gt;&lt;wsp:rsid wsp:val=&quot;00505573&quot;/&gt;&lt;wsp:rsid wsp:val=&quot;005055D0&quot;/&gt;&lt;wsp:rsid wsp:val=&quot;00505C7A&quot;/&gt;&lt;wsp:rsid wsp:val=&quot;00510E62&quot;/&gt;&lt;wsp:rsid wsp:val=&quot;00511C7E&quot;/&gt;&lt;wsp:rsid wsp:val=&quot;005133A8&quot;/&gt;&lt;wsp:rsid wsp:val=&quot;00513932&quot;/&gt;&lt;wsp:rsid wsp:val=&quot;0051413A&quot;/&gt;&lt;wsp:rsid wsp:val=&quot;0051488A&quot;/&gt;&lt;wsp:rsid wsp:val=&quot;0051499A&quot;/&gt;&lt;wsp:rsid wsp:val=&quot;00514BD0&quot;/&gt;&lt;wsp:rsid wsp:val=&quot;00514EE4&quot;/&gt;&lt;wsp:rsid wsp:val=&quot;0051514F&quot;/&gt;&lt;wsp:rsid wsp:val=&quot;00515BE4&quot;/&gt;&lt;wsp:rsid wsp:val=&quot;0051636E&quot;/&gt;&lt;wsp:rsid wsp:val=&quot;00517581&quot;/&gt;&lt;wsp:rsid wsp:val=&quot;005178C7&quot;/&gt;&lt;wsp:rsid wsp:val=&quot;00517D74&quot;/&gt;&lt;wsp:rsid wsp:val=&quot;005209C6&quot;/&gt;&lt;wsp:rsid wsp:val=&quot;00520B3A&quot;/&gt;&lt;wsp:rsid wsp:val=&quot;005233B9&quot;/&gt;&lt;wsp:rsid wsp:val=&quot;0052361A&quot;/&gt;&lt;wsp:rsid wsp:val=&quot;00523824&quot;/&gt;&lt;wsp:rsid wsp:val=&quot;00523F16&quot;/&gt;&lt;wsp:rsid wsp:val=&quot;00524CD6&quot;/&gt;&lt;wsp:rsid wsp:val=&quot;00525930&quot;/&gt;&lt;wsp:rsid wsp:val=&quot;00525C2B&quot;/&gt;&lt;wsp:rsid wsp:val=&quot;00525CE5&quot;/&gt;&lt;wsp:rsid wsp:val=&quot;00525F91&quot;/&gt;&lt;wsp:rsid wsp:val=&quot;00527A9A&quot;/&gt;&lt;wsp:rsid wsp:val=&quot;0053143E&quot;/&gt;&lt;wsp:rsid wsp:val=&quot;00531DBA&quot;/&gt;&lt;wsp:rsid wsp:val=&quot;00532687&quot;/&gt;&lt;wsp:rsid wsp:val=&quot;005339C7&quot;/&gt;&lt;wsp:rsid wsp:val=&quot;005351DA&quot;/&gt;&lt;wsp:rsid wsp:val=&quot;00535DB3&quot;/&gt;&lt;wsp:rsid wsp:val=&quot;00537599&quot;/&gt;&lt;wsp:rsid wsp:val=&quot;0053793B&quot;/&gt;&lt;wsp:rsid wsp:val=&quot;00537988&quot;/&gt;&lt;wsp:rsid wsp:val=&quot;005408AF&quot;/&gt;&lt;wsp:rsid wsp:val=&quot;00540EBC&quot;/&gt;&lt;wsp:rsid wsp:val=&quot;00540F47&quot;/&gt;&lt;wsp:rsid wsp:val=&quot;005413FD&quot;/&gt;&lt;wsp:rsid wsp:val=&quot;00541408&quot;/&gt;&lt;wsp:rsid wsp:val=&quot;00542104&quot;/&gt;&lt;wsp:rsid wsp:val=&quot;005436CB&quot;/&gt;&lt;wsp:rsid wsp:val=&quot;00546EDC&quot;/&gt;&lt;wsp:rsid wsp:val=&quot;00547224&quot;/&gt;&lt;wsp:rsid wsp:val=&quot;005510C1&quot;/&gt;&lt;wsp:rsid wsp:val=&quot;00551849&quot;/&gt;&lt;wsp:rsid wsp:val=&quot;005523A7&quot;/&gt;&lt;wsp:rsid wsp:val=&quot;0055252D&quot;/&gt;&lt;wsp:rsid wsp:val=&quot;00552EF9&quot;/&gt;&lt;wsp:rsid wsp:val=&quot;005537D4&quot;/&gt;&lt;wsp:rsid wsp:val=&quot;005537ED&quot;/&gt;&lt;wsp:rsid wsp:val=&quot;00554F01&quot;/&gt;&lt;wsp:rsid wsp:val=&quot;00555A9A&quot;/&gt;&lt;wsp:rsid wsp:val=&quot;00555AD9&quot;/&gt;&lt;wsp:rsid wsp:val=&quot;00555E61&quot;/&gt;&lt;wsp:rsid wsp:val=&quot;0055631D&quot;/&gt;&lt;wsp:rsid wsp:val=&quot;00556F37&quot;/&gt;&lt;wsp:rsid wsp:val=&quot;00561665&quot;/&gt;&lt;wsp:rsid wsp:val=&quot;005634A5&quot;/&gt;&lt;wsp:rsid wsp:val=&quot;005635C1&quot;/&gt;&lt;wsp:rsid wsp:val=&quot;005646FF&quot;/&gt;&lt;wsp:rsid wsp:val=&quot;00565858&quot;/&gt;&lt;wsp:rsid wsp:val=&quot;00565C7E&quot;/&gt;&lt;wsp:rsid wsp:val=&quot;00565F1B&quot;/&gt;&lt;wsp:rsid wsp:val=&quot;00566B46&quot;/&gt;&lt;wsp:rsid wsp:val=&quot;0056787D&quot;/&gt;&lt;wsp:rsid wsp:val=&quot;00567E09&quot;/&gt;&lt;wsp:rsid wsp:val=&quot;00567F9E&quot;/&gt;&lt;wsp:rsid wsp:val=&quot;00570635&quot;/&gt;&lt;wsp:rsid wsp:val=&quot;005713C6&quot;/&gt;&lt;wsp:rsid wsp:val=&quot;005719B1&quot;/&gt;&lt;wsp:rsid wsp:val=&quot;005720F8&quot;/&gt;&lt;wsp:rsid wsp:val=&quot;00572422&quot;/&gt;&lt;wsp:rsid wsp:val=&quot;00573363&quot;/&gt;&lt;wsp:rsid wsp:val=&quot;005736CE&quot;/&gt;&lt;wsp:rsid wsp:val=&quot;005745B0&quot;/&gt;&lt;wsp:rsid wsp:val=&quot;00574C4E&quot;/&gt;&lt;wsp:rsid wsp:val=&quot;005752DB&quot;/&gt;&lt;wsp:rsid wsp:val=&quot;00577402&quot;/&gt;&lt;wsp:rsid wsp:val=&quot;00577DB9&quot;/&gt;&lt;wsp:rsid wsp:val=&quot;00581DE0&quot;/&gt;&lt;wsp:rsid wsp:val=&quot;00582626&quot;/&gt;&lt;wsp:rsid wsp:val=&quot;00582E5C&quot;/&gt;&lt;wsp:rsid wsp:val=&quot;0058305D&quot;/&gt;&lt;wsp:rsid wsp:val=&quot;005836E7&quot;/&gt;&lt;wsp:rsid wsp:val=&quot;0058436F&quot;/&gt;&lt;wsp:rsid wsp:val=&quot;00584A9B&quot;/&gt;&lt;wsp:rsid wsp:val=&quot;0058576F&quot;/&gt;&lt;wsp:rsid wsp:val=&quot;00585C24&quot;/&gt;&lt;wsp:rsid wsp:val=&quot;005861E2&quot;/&gt;&lt;wsp:rsid wsp:val=&quot;00586981&quot;/&gt;&lt;wsp:rsid wsp:val=&quot;00586A5A&quot;/&gt;&lt;wsp:rsid wsp:val=&quot;00586CC8&quot;/&gt;&lt;wsp:rsid wsp:val=&quot;00586E03&quot;/&gt;&lt;wsp:rsid wsp:val=&quot;00587653&quot;/&gt;&lt;wsp:rsid wsp:val=&quot;00587938&quot;/&gt;&lt;wsp:rsid wsp:val=&quot;00590532&quot;/&gt;&lt;wsp:rsid wsp:val=&quot;005908C7&quot;/&gt;&lt;wsp:rsid wsp:val=&quot;005909FC&quot;/&gt;&lt;wsp:rsid wsp:val=&quot;00590F9C&quot;/&gt;&lt;wsp:rsid wsp:val=&quot;00591C1F&quot;/&gt;&lt;wsp:rsid wsp:val=&quot;005924B8&quot;/&gt;&lt;wsp:rsid wsp:val=&quot;00592DB0&quot;/&gt;&lt;wsp:rsid wsp:val=&quot;005933DC&quot;/&gt;&lt;wsp:rsid wsp:val=&quot;00593633&quot;/&gt;&lt;wsp:rsid wsp:val=&quot;005940E2&quot;/&gt;&lt;wsp:rsid wsp:val=&quot;00594C1E&quot;/&gt;&lt;wsp:rsid wsp:val=&quot;00594D8A&quot;/&gt;&lt;wsp:rsid wsp:val=&quot;00594EAA&quot;/&gt;&lt;wsp:rsid wsp:val=&quot;0059714E&quot;/&gt;&lt;wsp:rsid wsp:val=&quot;00597773&quot;/&gt;&lt;wsp:rsid wsp:val=&quot;005A0CAB&quot;/&gt;&lt;wsp:rsid wsp:val=&quot;005A26AC&quot;/&gt;&lt;wsp:rsid wsp:val=&quot;005A274E&quot;/&gt;&lt;wsp:rsid wsp:val=&quot;005A2D8A&quot;/&gt;&lt;wsp:rsid wsp:val=&quot;005A31A4&quot;/&gt;&lt;wsp:rsid wsp:val=&quot;005A3788&quot;/&gt;&lt;wsp:rsid wsp:val=&quot;005A391A&quot;/&gt;&lt;wsp:rsid wsp:val=&quot;005A433F&quot;/&gt;&lt;wsp:rsid wsp:val=&quot;005A46E3&quot;/&gt;&lt;wsp:rsid wsp:val=&quot;005A4B2E&quot;/&gt;&lt;wsp:rsid wsp:val=&quot;005A4CA1&quot;/&gt;&lt;wsp:rsid wsp:val=&quot;005A5B91&quot;/&gt;&lt;wsp:rsid wsp:val=&quot;005A5BD9&quot;/&gt;&lt;wsp:rsid wsp:val=&quot;005A5BE1&quot;/&gt;&lt;wsp:rsid wsp:val=&quot;005A632B&quot;/&gt;&lt;wsp:rsid wsp:val=&quot;005A6856&quot;/&gt;&lt;wsp:rsid wsp:val=&quot;005A6E08&quot;/&gt;&lt;wsp:rsid wsp:val=&quot;005A72FD&quot;/&gt;&lt;wsp:rsid wsp:val=&quot;005A7339&quot;/&gt;&lt;wsp:rsid wsp:val=&quot;005A7C2F&quot;/&gt;&lt;wsp:rsid wsp:val=&quot;005B064B&quot;/&gt;&lt;wsp:rsid wsp:val=&quot;005B0CC7&quot;/&gt;&lt;wsp:rsid wsp:val=&quot;005B1EC5&quot;/&gt;&lt;wsp:rsid wsp:val=&quot;005B2344&quot;/&gt;&lt;wsp:rsid wsp:val=&quot;005B2B41&quot;/&gt;&lt;wsp:rsid wsp:val=&quot;005B2B85&quot;/&gt;&lt;wsp:rsid wsp:val=&quot;005B2BA3&quot;/&gt;&lt;wsp:rsid wsp:val=&quot;005B3999&quot;/&gt;&lt;wsp:rsid wsp:val=&quot;005B3E10&quot;/&gt;&lt;wsp:rsid wsp:val=&quot;005B4D2B&quot;/&gt;&lt;wsp:rsid wsp:val=&quot;005B5645&quot;/&gt;&lt;wsp:rsid wsp:val=&quot;005B5680&quot;/&gt;&lt;wsp:rsid wsp:val=&quot;005B5B0E&quot;/&gt;&lt;wsp:rsid wsp:val=&quot;005B5F9A&quot;/&gt;&lt;wsp:rsid wsp:val=&quot;005B6289&quot;/&gt;&lt;wsp:rsid wsp:val=&quot;005B62F9&quot;/&gt;&lt;wsp:rsid wsp:val=&quot;005B7E99&quot;/&gt;&lt;wsp:rsid wsp:val=&quot;005C0392&quot;/&gt;&lt;wsp:rsid wsp:val=&quot;005C0A59&quot;/&gt;&lt;wsp:rsid wsp:val=&quot;005C0D2A&quot;/&gt;&lt;wsp:rsid wsp:val=&quot;005C101D&quot;/&gt;&lt;wsp:rsid wsp:val=&quot;005C1836&quot;/&gt;&lt;wsp:rsid wsp:val=&quot;005C1C0F&quot;/&gt;&lt;wsp:rsid wsp:val=&quot;005C1EAC&quot;/&gt;&lt;wsp:rsid wsp:val=&quot;005C22DB&quot;/&gt;&lt;wsp:rsid wsp:val=&quot;005C230D&quot;/&gt;&lt;wsp:rsid wsp:val=&quot;005C2987&quot;/&gt;&lt;wsp:rsid wsp:val=&quot;005C3F19&quot;/&gt;&lt;wsp:rsid wsp:val=&quot;005C6530&quot;/&gt;&lt;wsp:rsid wsp:val=&quot;005C65CB&quot;/&gt;&lt;wsp:rsid wsp:val=&quot;005C6B63&quot;/&gt;&lt;wsp:rsid wsp:val=&quot;005C706C&quot;/&gt;&lt;wsp:rsid wsp:val=&quot;005C7183&quot;/&gt;&lt;wsp:rsid wsp:val=&quot;005C731B&quot;/&gt;&lt;wsp:rsid wsp:val=&quot;005C7603&quot;/&gt;&lt;wsp:rsid wsp:val=&quot;005C7C07&quot;/&gt;&lt;wsp:rsid wsp:val=&quot;005C7F12&quot;/&gt;&lt;wsp:rsid wsp:val=&quot;005D089B&quot;/&gt;&lt;wsp:rsid wsp:val=&quot;005D0C8D&quot;/&gt;&lt;wsp:rsid wsp:val=&quot;005D2496&quot;/&gt;&lt;wsp:rsid wsp:val=&quot;005D3693&quot;/&gt;&lt;wsp:rsid wsp:val=&quot;005D37AB&quot;/&gt;&lt;wsp:rsid wsp:val=&quot;005D3F40&quot;/&gt;&lt;wsp:rsid wsp:val=&quot;005D4009&quot;/&gt;&lt;wsp:rsid wsp:val=&quot;005D4388&quot;/&gt;&lt;wsp:rsid wsp:val=&quot;005D4E76&quot;/&gt;&lt;wsp:rsid wsp:val=&quot;005D58A9&quot;/&gt;&lt;wsp:rsid wsp:val=&quot;005D5ECF&quot;/&gt;&lt;wsp:rsid wsp:val=&quot;005D6A52&quot;/&gt;&lt;wsp:rsid wsp:val=&quot;005D7CFE&quot;/&gt;&lt;wsp:rsid wsp:val=&quot;005E02EA&quot;/&gt;&lt;wsp:rsid wsp:val=&quot;005E093D&quot;/&gt;&lt;wsp:rsid wsp:val=&quot;005E0CD4&quot;/&gt;&lt;wsp:rsid wsp:val=&quot;005E1291&quot;/&gt;&lt;wsp:rsid wsp:val=&quot;005E1BFE&quot;/&gt;&lt;wsp:rsid wsp:val=&quot;005E1CB1&quot;/&gt;&lt;wsp:rsid wsp:val=&quot;005E228E&quot;/&gt;&lt;wsp:rsid wsp:val=&quot;005E28DB&quot;/&gt;&lt;wsp:rsid wsp:val=&quot;005E365F&quot;/&gt;&lt;wsp:rsid wsp:val=&quot;005E3C31&quot;/&gt;&lt;wsp:rsid wsp:val=&quot;005E425C&quot;/&gt;&lt;wsp:rsid wsp:val=&quot;005E4DD2&quot;/&gt;&lt;wsp:rsid wsp:val=&quot;005E5961&quot;/&gt;&lt;wsp:rsid wsp:val=&quot;005E5C2C&quot;/&gt;&lt;wsp:rsid wsp:val=&quot;005E6F51&quot;/&gt;&lt;wsp:rsid wsp:val=&quot;005E7AD0&quot;/&gt;&lt;wsp:rsid wsp:val=&quot;005E7F24&quot;/&gt;&lt;wsp:rsid wsp:val=&quot;005F10B4&quot;/&gt;&lt;wsp:rsid wsp:val=&quot;005F1D75&quot;/&gt;&lt;wsp:rsid wsp:val=&quot;005F30B5&quot;/&gt;&lt;wsp:rsid wsp:val=&quot;005F4AD7&quot;/&gt;&lt;wsp:rsid wsp:val=&quot;005F6027&quot;/&gt;&lt;wsp:rsid wsp:val=&quot;005F7040&quot;/&gt;&lt;wsp:rsid wsp:val=&quot;0060042D&quot;/&gt;&lt;wsp:rsid wsp:val=&quot;0060104D&quot;/&gt;&lt;wsp:rsid wsp:val=&quot;006017D9&quot;/&gt;&lt;wsp:rsid wsp:val=&quot;00603630&quot;/&gt;&lt;wsp:rsid wsp:val=&quot;00603710&quot;/&gt;&lt;wsp:rsid wsp:val=&quot;00603D80&quot;/&gt;&lt;wsp:rsid wsp:val=&quot;00604990&quot;/&gt;&lt;wsp:rsid wsp:val=&quot;00604F21&quot;/&gt;&lt;wsp:rsid wsp:val=&quot;00605799&quot;/&gt;&lt;wsp:rsid wsp:val=&quot;00605FDC&quot;/&gt;&lt;wsp:rsid wsp:val=&quot;00606DFB&quot;/&gt;&lt;wsp:rsid wsp:val=&quot;00606F17&quot;/&gt;&lt;wsp:rsid wsp:val=&quot;00607806&quot;/&gt;&lt;wsp:rsid wsp:val=&quot;00607FC3&quot;/&gt;&lt;wsp:rsid wsp:val=&quot;00610A68&quot;/&gt;&lt;wsp:rsid wsp:val=&quot;00611957&quot;/&gt;&lt;wsp:rsid wsp:val=&quot;00611A07&quot;/&gt;&lt;wsp:rsid wsp:val=&quot;0061210C&quot;/&gt;&lt;wsp:rsid wsp:val=&quot;006124D5&quot;/&gt;&lt;wsp:rsid wsp:val=&quot;0061269D&quot;/&gt;&lt;wsp:rsid wsp:val=&quot;00612BE0&quot;/&gt;&lt;wsp:rsid wsp:val=&quot;0061384F&quot;/&gt;&lt;wsp:rsid wsp:val=&quot;006139B9&quot;/&gt;&lt;wsp:rsid wsp:val=&quot;00614D29&quot;/&gt;&lt;wsp:rsid wsp:val=&quot;00615F29&quot;/&gt;&lt;wsp:rsid wsp:val=&quot;00616045&quot;/&gt;&lt;wsp:rsid wsp:val=&quot;006161D0&quot;/&gt;&lt;wsp:rsid wsp:val=&quot;00616BDD&quot;/&gt;&lt;wsp:rsid wsp:val=&quot;006219FE&quot;/&gt;&lt;wsp:rsid wsp:val=&quot;00621A91&quot;/&gt;&lt;wsp:rsid wsp:val=&quot;00622B06&quot;/&gt;&lt;wsp:rsid wsp:val=&quot;00622FCC&quot;/&gt;&lt;wsp:rsid wsp:val=&quot;00623F0C&quot;/&gt;&lt;wsp:rsid wsp:val=&quot;0062448B&quot;/&gt;&lt;wsp:rsid wsp:val=&quot;006244EA&quot;/&gt;&lt;wsp:rsid wsp:val=&quot;0062462A&quot;/&gt;&lt;wsp:rsid wsp:val=&quot;00624ABD&quot;/&gt;&lt;wsp:rsid wsp:val=&quot;00624EA6&quot;/&gt;&lt;wsp:rsid wsp:val=&quot;006257DA&quot;/&gt;&lt;wsp:rsid wsp:val=&quot;00625984&quot;/&gt;&lt;wsp:rsid wsp:val=&quot;00627914&quot;/&gt;&lt;wsp:rsid wsp:val=&quot;006301D1&quot;/&gt;&lt;wsp:rsid wsp:val=&quot;00630B5A&quot;/&gt;&lt;wsp:rsid wsp:val=&quot;006311E5&quot;/&gt;&lt;wsp:rsid wsp:val=&quot;006316BB&quot;/&gt;&lt;wsp:rsid wsp:val=&quot;006324B4&quot;/&gt;&lt;wsp:rsid wsp:val=&quot;00632F32&quot;/&gt;&lt;wsp:rsid wsp:val=&quot;00633255&quot;/&gt;&lt;wsp:rsid wsp:val=&quot;00633402&quot;/&gt;&lt;wsp:rsid wsp:val=&quot;00633FAF&quot;/&gt;&lt;wsp:rsid wsp:val=&quot;0063469C&quot;/&gt;&lt;wsp:rsid wsp:val=&quot;00634F49&quot;/&gt;&lt;wsp:rsid wsp:val=&quot;00635A33&quot;/&gt;&lt;wsp:rsid wsp:val=&quot;00635FB5&quot;/&gt;&lt;wsp:rsid wsp:val=&quot;00636A02&quot;/&gt;&lt;wsp:rsid wsp:val=&quot;00636A17&quot;/&gt;&lt;wsp:rsid wsp:val=&quot;00636B6E&quot;/&gt;&lt;wsp:rsid wsp:val=&quot;0063739C&quot;/&gt;&lt;wsp:rsid wsp:val=&quot;00640AF7&quot;/&gt;&lt;wsp:rsid wsp:val=&quot;00640B7F&quot;/&gt;&lt;wsp:rsid wsp:val=&quot;00640C6A&quot;/&gt;&lt;wsp:rsid wsp:val=&quot;00641BBA&quot;/&gt;&lt;wsp:rsid wsp:val=&quot;00642346&quot;/&gt;&lt;wsp:rsid wsp:val=&quot;0064235C&quot;/&gt;&lt;wsp:rsid wsp:val=&quot;0064353A&quot;/&gt;&lt;wsp:rsid wsp:val=&quot;006438ED&quot;/&gt;&lt;wsp:rsid wsp:val=&quot;00643C32&quot;/&gt;&lt;wsp:rsid wsp:val=&quot;00644674&quot;/&gt;&lt;wsp:rsid wsp:val=&quot;006450B9&quot;/&gt;&lt;wsp:rsid wsp:val=&quot;00645F4F&quot;/&gt;&lt;wsp:rsid wsp:val=&quot;00647496&quot;/&gt;&lt;wsp:rsid wsp:val=&quot;00647CE8&quot;/&gt;&lt;wsp:rsid wsp:val=&quot;00650160&quot;/&gt;&lt;wsp:rsid wsp:val=&quot;006526B0&quot;/&gt;&lt;wsp:rsid wsp:val=&quot;006527BD&quot;/&gt;&lt;wsp:rsid wsp:val=&quot;0065289A&quot;/&gt;&lt;wsp:rsid wsp:val=&quot;006528CC&quot;/&gt;&lt;wsp:rsid wsp:val=&quot;00652C05&quot;/&gt;&lt;wsp:rsid wsp:val=&quot;0065300E&quot;/&gt;&lt;wsp:rsid wsp:val=&quot;006533F5&quot;/&gt;&lt;wsp:rsid wsp:val=&quot;006534C4&quot;/&gt;&lt;wsp:rsid wsp:val=&quot;00653A74&quot;/&gt;&lt;wsp:rsid wsp:val=&quot;00654511&quot;/&gt;&lt;wsp:rsid wsp:val=&quot;0065554C&quot;/&gt;&lt;wsp:rsid wsp:val=&quot;0065661D&quot;/&gt;&lt;wsp:rsid wsp:val=&quot;00656F4D&quot;/&gt;&lt;wsp:rsid wsp:val=&quot;00660110&quot;/&gt;&lt;wsp:rsid wsp:val=&quot;00660615&quot;/&gt;&lt;wsp:rsid wsp:val=&quot;00660623&quot;/&gt;&lt;wsp:rsid wsp:val=&quot;00660D59&quot;/&gt;&lt;wsp:rsid wsp:val=&quot;0066185F&quot;/&gt;&lt;wsp:rsid wsp:val=&quot;00662466&quot;/&gt;&lt;wsp:rsid wsp:val=&quot;00663BD1&quot;/&gt;&lt;wsp:rsid wsp:val=&quot;00664336&quot;/&gt;&lt;wsp:rsid wsp:val=&quot;006657C2&quot;/&gt;&lt;wsp:rsid wsp:val=&quot;00670E0C&quot;/&gt;&lt;wsp:rsid wsp:val=&quot;00671224&quot;/&gt;&lt;wsp:rsid wsp:val=&quot;0067125B&quot;/&gt;&lt;wsp:rsid wsp:val=&quot;006712B8&quot;/&gt;&lt;wsp:rsid wsp:val=&quot;00671B0D&quot;/&gt;&lt;wsp:rsid wsp:val=&quot;00671B8B&quot;/&gt;&lt;wsp:rsid wsp:val=&quot;00671D49&quot;/&gt;&lt;wsp:rsid wsp:val=&quot;00672120&quot;/&gt;&lt;wsp:rsid wsp:val=&quot;00672654&quot;/&gt;&lt;wsp:rsid wsp:val=&quot;00672C98&quot;/&gt;&lt;wsp:rsid wsp:val=&quot;0067335A&quot;/&gt;&lt;wsp:rsid wsp:val=&quot;00673447&quot;/&gt;&lt;wsp:rsid wsp:val=&quot;00673976&quot;/&gt;&lt;wsp:rsid wsp:val=&quot;00673EEB&quot;/&gt;&lt;wsp:rsid wsp:val=&quot;0067402E&quot;/&gt;&lt;wsp:rsid wsp:val=&quot;00675270&quot;/&gt;&lt;wsp:rsid wsp:val=&quot;006759FB&quot;/&gt;&lt;wsp:rsid wsp:val=&quot;00675C2F&quot;/&gt;&lt;wsp:rsid wsp:val=&quot;00675FA6&quot;/&gt;&lt;wsp:rsid wsp:val=&quot;00677BE0&quot;/&gt;&lt;wsp:rsid wsp:val=&quot;00677E60&quot;/&gt;&lt;wsp:rsid wsp:val=&quot;00681641&quot;/&gt;&lt;wsp:rsid wsp:val=&quot;00682AC1&quot;/&gt;&lt;wsp:rsid wsp:val=&quot;00682FD3&quot;/&gt;&lt;wsp:rsid wsp:val=&quot;00683F1E&quot;/&gt;&lt;wsp:rsid wsp:val=&quot;006852BD&quot;/&gt;&lt;wsp:rsid wsp:val=&quot;006855E4&quot;/&gt;&lt;wsp:rsid wsp:val=&quot;00685D3E&quot;/&gt;&lt;wsp:rsid wsp:val=&quot;00686435&quot;/&gt;&lt;wsp:rsid wsp:val=&quot;00686C5C&quot;/&gt;&lt;wsp:rsid wsp:val=&quot;00686D0C&quot;/&gt;&lt;wsp:rsid wsp:val=&quot;00686F47&quot;/&gt;&lt;wsp:rsid wsp:val=&quot;0068741F&quot;/&gt;&lt;wsp:rsid wsp:val=&quot;00687752&quot;/&gt;&lt;wsp:rsid wsp:val=&quot;00687947&quot;/&gt;&lt;wsp:rsid wsp:val=&quot;00687AD0&quot;/&gt;&lt;wsp:rsid wsp:val=&quot;00687C67&quot;/&gt;&lt;wsp:rsid wsp:val=&quot;00687F91&quot;/&gt;&lt;wsp:rsid wsp:val=&quot;006900DD&quot;/&gt;&lt;wsp:rsid wsp:val=&quot;006907D1&quot;/&gt;&lt;wsp:rsid wsp:val=&quot;00690D05&quot;/&gt;&lt;wsp:rsid wsp:val=&quot;00692A80&quot;/&gt;&lt;wsp:rsid wsp:val=&quot;00692DBF&quot;/&gt;&lt;wsp:rsid wsp:val=&quot;00693388&quot;/&gt;&lt;wsp:rsid wsp:val=&quot;006933BC&quot;/&gt;&lt;wsp:rsid wsp:val=&quot;006943BE&quot;/&gt;&lt;wsp:rsid wsp:val=&quot;006952BE&quot;/&gt;&lt;wsp:rsid wsp:val=&quot;00695B88&quot;/&gt;&lt;wsp:rsid wsp:val=&quot;00695CDB&quot;/&gt;&lt;wsp:rsid wsp:val=&quot;00696577&quot;/&gt;&lt;wsp:rsid wsp:val=&quot;0069692D&quot;/&gt;&lt;wsp:rsid wsp:val=&quot;006971B9&quot;/&gt;&lt;wsp:rsid wsp:val=&quot;006976A7&quot;/&gt;&lt;wsp:rsid wsp:val=&quot;00697A43&quot;/&gt;&lt;wsp:rsid wsp:val=&quot;006A03B6&quot;/&gt;&lt;wsp:rsid wsp:val=&quot;006A0948&quot;/&gt;&lt;wsp:rsid wsp:val=&quot;006A09AC&quot;/&gt;&lt;wsp:rsid wsp:val=&quot;006A15E1&quot;/&gt;&lt;wsp:rsid wsp:val=&quot;006A1C7F&quot;/&gt;&lt;wsp:rsid wsp:val=&quot;006A2FB8&quot;/&gt;&lt;wsp:rsid wsp:val=&quot;006A3EE4&quot;/&gt;&lt;wsp:rsid wsp:val=&quot;006A417B&quot;/&gt;&lt;wsp:rsid wsp:val=&quot;006A6044&quot;/&gt;&lt;wsp:rsid wsp:val=&quot;006A6B36&quot;/&gt;&lt;wsp:rsid wsp:val=&quot;006A76F8&quot;/&gt;&lt;wsp:rsid wsp:val=&quot;006A781D&quot;/&gt;&lt;wsp:rsid wsp:val=&quot;006B03B5&quot;/&gt;&lt;wsp:rsid wsp:val=&quot;006B0BF6&quot;/&gt;&lt;wsp:rsid wsp:val=&quot;006B11EB&quot;/&gt;&lt;wsp:rsid wsp:val=&quot;006B1489&quot;/&gt;&lt;wsp:rsid wsp:val=&quot;006B155F&quot;/&gt;&lt;wsp:rsid wsp:val=&quot;006B1D9D&quot;/&gt;&lt;wsp:rsid wsp:val=&quot;006B1F26&quot;/&gt;&lt;wsp:rsid wsp:val=&quot;006B221E&quot;/&gt;&lt;wsp:rsid wsp:val=&quot;006B24D6&quot;/&gt;&lt;wsp:rsid wsp:val=&quot;006B27F5&quot;/&gt;&lt;wsp:rsid wsp:val=&quot;006B2EF2&quot;/&gt;&lt;wsp:rsid wsp:val=&quot;006B39A6&quot;/&gt;&lt;wsp:rsid wsp:val=&quot;006B3C58&quot;/&gt;&lt;wsp:rsid wsp:val=&quot;006B4B50&quot;/&gt;&lt;wsp:rsid wsp:val=&quot;006B4C92&quot;/&gt;&lt;wsp:rsid wsp:val=&quot;006B4EEA&quot;/&gt;&lt;wsp:rsid wsp:val=&quot;006B538F&quot;/&gt;&lt;wsp:rsid wsp:val=&quot;006B5A5A&quot;/&gt;&lt;wsp:rsid wsp:val=&quot;006B5E82&quot;/&gt;&lt;wsp:rsid wsp:val=&quot;006B6481&quot;/&gt;&lt;wsp:rsid wsp:val=&quot;006B6D1B&quot;/&gt;&lt;wsp:rsid wsp:val=&quot;006B7AFC&quot;/&gt;&lt;wsp:rsid wsp:val=&quot;006B7FE3&quot;/&gt;&lt;wsp:rsid wsp:val=&quot;006C02FF&quot;/&gt;&lt;wsp:rsid wsp:val=&quot;006C1491&quot;/&gt;&lt;wsp:rsid wsp:val=&quot;006C1CF4&quot;/&gt;&lt;wsp:rsid wsp:val=&quot;006C22CF&quot;/&gt;&lt;wsp:rsid wsp:val=&quot;006C283D&quot;/&gt;&lt;wsp:rsid wsp:val=&quot;006C284A&quot;/&gt;&lt;wsp:rsid wsp:val=&quot;006C31AD&quot;/&gt;&lt;wsp:rsid wsp:val=&quot;006C5233&quot;/&gt;&lt;wsp:rsid wsp:val=&quot;006C53E8&quot;/&gt;&lt;wsp:rsid wsp:val=&quot;006C55E6&quot;/&gt;&lt;wsp:rsid wsp:val=&quot;006C5E29&quot;/&gt;&lt;wsp:rsid wsp:val=&quot;006C682C&quot;/&gt;&lt;wsp:rsid wsp:val=&quot;006C75C0&quot;/&gt;&lt;wsp:rsid wsp:val=&quot;006D0213&quot;/&gt;&lt;wsp:rsid wsp:val=&quot;006D1F57&quot;/&gt;&lt;wsp:rsid wsp:val=&quot;006D2786&quot;/&gt;&lt;wsp:rsid wsp:val=&quot;006D2B47&quot;/&gt;&lt;wsp:rsid wsp:val=&quot;006D2F05&quot;/&gt;&lt;wsp:rsid wsp:val=&quot;006D3B3A&quot;/&gt;&lt;wsp:rsid wsp:val=&quot;006D3BED&quot;/&gt;&lt;wsp:rsid wsp:val=&quot;006D40F7&quot;/&gt;&lt;wsp:rsid wsp:val=&quot;006D4C4F&quot;/&gt;&lt;wsp:rsid wsp:val=&quot;006D7767&quot;/&gt;&lt;wsp:rsid wsp:val=&quot;006E0330&quot;/&gt;&lt;wsp:rsid wsp:val=&quot;006E0C6D&quot;/&gt;&lt;wsp:rsid wsp:val=&quot;006E101E&quot;/&gt;&lt;wsp:rsid wsp:val=&quot;006E1DD5&quot;/&gt;&lt;wsp:rsid wsp:val=&quot;006E30FF&quot;/&gt;&lt;wsp:rsid wsp:val=&quot;006E38C3&quot;/&gt;&lt;wsp:rsid wsp:val=&quot;006E3A0C&quot;/&gt;&lt;wsp:rsid wsp:val=&quot;006E6B4D&quot;/&gt;&lt;wsp:rsid wsp:val=&quot;006E6CA3&quot;/&gt;&lt;wsp:rsid wsp:val=&quot;006E7961&quot;/&gt;&lt;wsp:rsid wsp:val=&quot;006F0B2E&quot;/&gt;&lt;wsp:rsid wsp:val=&quot;006F0CBE&quot;/&gt;&lt;wsp:rsid wsp:val=&quot;006F21CD&quot;/&gt;&lt;wsp:rsid wsp:val=&quot;006F3104&quot;/&gt;&lt;wsp:rsid wsp:val=&quot;006F397C&quot;/&gt;&lt;wsp:rsid wsp:val=&quot;006F479B&quot;/&gt;&lt;wsp:rsid wsp:val=&quot;006F50B4&quot;/&gt;&lt;wsp:rsid wsp:val=&quot;006F56AA&quot;/&gt;&lt;wsp:rsid wsp:val=&quot;006F58CC&quot;/&gt;&lt;wsp:rsid wsp:val=&quot;006F58D2&quot;/&gt;&lt;wsp:rsid wsp:val=&quot;006F6346&quot;/&gt;&lt;wsp:rsid wsp:val=&quot;006F726D&quot;/&gt;&lt;wsp:rsid wsp:val=&quot;006F73D8&quot;/&gt;&lt;wsp:rsid wsp:val=&quot;007006A9&quot;/&gt;&lt;wsp:rsid wsp:val=&quot;00700861&quot;/&gt;&lt;wsp:rsid wsp:val=&quot;00700D70&quot;/&gt;&lt;wsp:rsid wsp:val=&quot;00701553&quot;/&gt;&lt;wsp:rsid wsp:val=&quot;00701A03&quot;/&gt;&lt;wsp:rsid wsp:val=&quot;00701A52&quot;/&gt;&lt;wsp:rsid wsp:val=&quot;00702AB7&quot;/&gt;&lt;wsp:rsid wsp:val=&quot;00703047&quot;/&gt;&lt;wsp:rsid wsp:val=&quot;00703290&quot;/&gt;&lt;wsp:rsid wsp:val=&quot;007041A4&quot;/&gt;&lt;wsp:rsid wsp:val=&quot;00704B3E&quot;/&gt;&lt;wsp:rsid wsp:val=&quot;00704C3F&quot;/&gt;&lt;wsp:rsid wsp:val=&quot;00704D08&quot;/&gt;&lt;wsp:rsid wsp:val=&quot;0070502E&quot;/&gt;&lt;wsp:rsid wsp:val=&quot;00706355&quot;/&gt;&lt;wsp:rsid wsp:val=&quot;007109D2&quot;/&gt;&lt;wsp:rsid wsp:val=&quot;00711C50&quot;/&gt;&lt;wsp:rsid wsp:val=&quot;00711F4F&quot;/&gt;&lt;wsp:rsid wsp:val=&quot;007127D7&quot;/&gt;&lt;wsp:rsid wsp:val=&quot;00712E2D&quot;/&gt;&lt;wsp:rsid wsp:val=&quot;00712FF8&quot;/&gt;&lt;wsp:rsid wsp:val=&quot;00713731&quot;/&gt;&lt;wsp:rsid wsp:val=&quot;00713A56&quot;/&gt;&lt;wsp:rsid wsp:val=&quot;00715276&quot;/&gt;&lt;wsp:rsid wsp:val=&quot;007156FC&quot;/&gt;&lt;wsp:rsid wsp:val=&quot;00715D49&quot;/&gt;&lt;wsp:rsid wsp:val=&quot;007166AA&quot;/&gt;&lt;wsp:rsid wsp:val=&quot;007172CC&quot;/&gt;&lt;wsp:rsid wsp:val=&quot;0072039F&quot;/&gt;&lt;wsp:rsid wsp:val=&quot;007209D0&quot;/&gt;&lt;wsp:rsid wsp:val=&quot;00720AFC&quot;/&gt;&lt;wsp:rsid wsp:val=&quot;00721332&quot;/&gt;&lt;wsp:rsid wsp:val=&quot;00722100&quot;/&gt;&lt;wsp:rsid wsp:val=&quot;007225E8&quot;/&gt;&lt;wsp:rsid wsp:val=&quot;00722E2C&quot;/&gt;&lt;wsp:rsid wsp:val=&quot;00722E61&quot;/&gt;&lt;wsp:rsid wsp:val=&quot;00723C8C&quot;/&gt;&lt;wsp:rsid wsp:val=&quot;00723E43&quot;/&gt;&lt;wsp:rsid wsp:val=&quot;00724654&quot;/&gt;&lt;wsp:rsid wsp:val=&quot;00725770&quot;/&gt;&lt;wsp:rsid wsp:val=&quot;007260AF&quot;/&gt;&lt;wsp:rsid wsp:val=&quot;007273F4&quot;/&gt;&lt;wsp:rsid wsp:val=&quot;007275D4&quot;/&gt;&lt;wsp:rsid wsp:val=&quot;00730168&quot;/&gt;&lt;wsp:rsid wsp:val=&quot;00730A31&quot;/&gt;&lt;wsp:rsid wsp:val=&quot;00731999&quot;/&gt;&lt;wsp:rsid wsp:val=&quot;00731E4F&quot;/&gt;&lt;wsp:rsid wsp:val=&quot;00733A08&quot;/&gt;&lt;wsp:rsid wsp:val=&quot;00733C89&quot;/&gt;&lt;wsp:rsid wsp:val=&quot;007367A6&quot;/&gt;&lt;wsp:rsid wsp:val=&quot;00736D4A&quot;/&gt;&lt;wsp:rsid wsp:val=&quot;0073771B&quot;/&gt;&lt;wsp:rsid wsp:val=&quot;00737FF3&quot;/&gt;&lt;wsp:rsid wsp:val=&quot;00740091&quot;/&gt;&lt;wsp:rsid wsp:val=&quot;0074065A&quot;/&gt;&lt;wsp:rsid wsp:val=&quot;0074082B&quot;/&gt;&lt;wsp:rsid wsp:val=&quot;0074091A&quot;/&gt;&lt;wsp:rsid wsp:val=&quot;00740DFC&quot;/&gt;&lt;wsp:rsid wsp:val=&quot;00741621&quot;/&gt;&lt;wsp:rsid wsp:val=&quot;0074167C&quot;/&gt;&lt;wsp:rsid wsp:val=&quot;00741BC6&quot;/&gt;&lt;wsp:rsid wsp:val=&quot;00742D3A&quot;/&gt;&lt;wsp:rsid wsp:val=&quot;007435A2&quot;/&gt;&lt;wsp:rsid wsp:val=&quot;007439AD&quot;/&gt;&lt;wsp:rsid wsp:val=&quot;0074590C&quot;/&gt;&lt;wsp:rsid wsp:val=&quot;00745BD2&quot;/&gt;&lt;wsp:rsid wsp:val=&quot;0074670C&quot;/&gt;&lt;wsp:rsid wsp:val=&quot;00746EA6&quot;/&gt;&lt;wsp:rsid wsp:val=&quot;00747622&quot;/&gt;&lt;wsp:rsid wsp:val=&quot;007501A3&quot;/&gt;&lt;wsp:rsid wsp:val=&quot;00750899&quot;/&gt;&lt;wsp:rsid wsp:val=&quot;00751D56&quot;/&gt;&lt;wsp:rsid wsp:val=&quot;00752330&quot;/&gt;&lt;wsp:rsid wsp:val=&quot;007527D9&quot;/&gt;&lt;wsp:rsid wsp:val=&quot;007534CE&quot;/&gt;&lt;wsp:rsid wsp:val=&quot;007534F1&quot;/&gt;&lt;wsp:rsid wsp:val=&quot;00753618&quot;/&gt;&lt;wsp:rsid wsp:val=&quot;00754126&quot;/&gt;&lt;wsp:rsid wsp:val=&quot;00754B37&quot;/&gt;&lt;wsp:rsid wsp:val=&quot;007550C3&quot;/&gt;&lt;wsp:rsid wsp:val=&quot;0075520F&quot;/&gt;&lt;wsp:rsid wsp:val=&quot;00755647&quot;/&gt;&lt;wsp:rsid wsp:val=&quot;00755679&quot;/&gt;&lt;wsp:rsid wsp:val=&quot;00756284&quot;/&gt;&lt;wsp:rsid wsp:val=&quot;007563E9&quot;/&gt;&lt;wsp:rsid wsp:val=&quot;007567DA&quot;/&gt;&lt;wsp:rsid wsp:val=&quot;00756C30&quot;/&gt;&lt;wsp:rsid wsp:val=&quot;00757FBC&quot;/&gt;&lt;wsp:rsid wsp:val=&quot;00760894&quot;/&gt;&lt;wsp:rsid wsp:val=&quot;00760AC6&quot;/&gt;&lt;wsp:rsid wsp:val=&quot;007610A5&quot;/&gt;&lt;wsp:rsid wsp:val=&quot;00761309&quot;/&gt;&lt;wsp:rsid wsp:val=&quot;00761662&quot;/&gt;&lt;wsp:rsid wsp:val=&quot;00761811&quot;/&gt;&lt;wsp:rsid wsp:val=&quot;00761BC5&quot;/&gt;&lt;wsp:rsid wsp:val=&quot;00761F74&quot;/&gt;&lt;wsp:rsid wsp:val=&quot;00761F9C&quot;/&gt;&lt;wsp:rsid wsp:val=&quot;007623A4&quot;/&gt;&lt;wsp:rsid wsp:val=&quot;00762825&quot;/&gt;&lt;wsp:rsid wsp:val=&quot;00762D77&quot;/&gt;&lt;wsp:rsid wsp:val=&quot;00762F67&quot;/&gt;&lt;wsp:rsid wsp:val=&quot;00763177&quot;/&gt;&lt;wsp:rsid wsp:val=&quot;00763E5D&quot;/&gt;&lt;wsp:rsid wsp:val=&quot;0076431B&quot;/&gt;&lt;wsp:rsid wsp:val=&quot;007651B6&quot;/&gt;&lt;wsp:rsid wsp:val=&quot;007654E1&quot;/&gt;&lt;wsp:rsid wsp:val=&quot;00766455&quot;/&gt;&lt;wsp:rsid wsp:val=&quot;00767940&quot;/&gt;&lt;wsp:rsid wsp:val=&quot;00767E91&quot;/&gt;&lt;wsp:rsid wsp:val=&quot;00767EC5&quot;/&gt;&lt;wsp:rsid wsp:val=&quot;00770B8D&quot;/&gt;&lt;wsp:rsid wsp:val=&quot;00771152&quot;/&gt;&lt;wsp:rsid wsp:val=&quot;00771DB3&quot;/&gt;&lt;wsp:rsid wsp:val=&quot;007726C6&quot;/&gt;&lt;wsp:rsid wsp:val=&quot;00772975&quot;/&gt;&lt;wsp:rsid wsp:val=&quot;0077299A&quot;/&gt;&lt;wsp:rsid wsp:val=&quot;00772B6E&quot;/&gt;&lt;wsp:rsid wsp:val=&quot;00773000&quot;/&gt;&lt;wsp:rsid wsp:val=&quot;00774D5C&quot;/&gt;&lt;wsp:rsid wsp:val=&quot;00776066&quot;/&gt;&lt;wsp:rsid wsp:val=&quot;00776366&quot;/&gt;&lt;wsp:rsid wsp:val=&quot;007768E4&quot;/&gt;&lt;wsp:rsid wsp:val=&quot;00776B89&quot;/&gt;&lt;wsp:rsid wsp:val=&quot;0077716A&quot;/&gt;&lt;wsp:rsid wsp:val=&quot;007777E4&quot;/&gt;&lt;wsp:rsid wsp:val=&quot;007805B8&quot;/&gt;&lt;wsp:rsid wsp:val=&quot;00782080&quot;/&gt;&lt;wsp:rsid wsp:val=&quot;00782341&quot;/&gt;&lt;wsp:rsid wsp:val=&quot;00782948&quot;/&gt;&lt;wsp:rsid wsp:val=&quot;007833E3&quot;/&gt;&lt;wsp:rsid wsp:val=&quot;007834D0&quot;/&gt;&lt;wsp:rsid wsp:val=&quot;00783E81&quot;/&gt;&lt;wsp:rsid wsp:val=&quot;0078436D&quot;/&gt;&lt;wsp:rsid wsp:val=&quot;00784A89&quot;/&gt;&lt;wsp:rsid wsp:val=&quot;00784B16&quot;/&gt;&lt;wsp:rsid wsp:val=&quot;00786762&quot;/&gt;&lt;wsp:rsid wsp:val=&quot;00787558&quot;/&gt;&lt;wsp:rsid wsp:val=&quot;007907F0&quot;/&gt;&lt;wsp:rsid wsp:val=&quot;00791616&quot;/&gt;&lt;wsp:rsid wsp:val=&quot;00792636&quot;/&gt;&lt;wsp:rsid wsp:val=&quot;007928FF&quot;/&gt;&lt;wsp:rsid wsp:val=&quot;00792A32&quot;/&gt;&lt;wsp:rsid wsp:val=&quot;00793D20&quot;/&gt;&lt;wsp:rsid wsp:val=&quot;00794C56&quot;/&gt;&lt;wsp:rsid wsp:val=&quot;00795A01&quot;/&gt;&lt;wsp:rsid wsp:val=&quot;00795A88&quot;/&gt;&lt;wsp:rsid wsp:val=&quot;007960FD&quot;/&gt;&lt;wsp:rsid wsp:val=&quot;00796A1B&quot;/&gt;&lt;wsp:rsid wsp:val=&quot;00797271&quot;/&gt;&lt;wsp:rsid wsp:val=&quot;00797DF7&quot;/&gt;&lt;wsp:rsid wsp:val=&quot;007A0720&quot;/&gt;&lt;wsp:rsid wsp:val=&quot;007A19F1&quot;/&gt;&lt;wsp:rsid wsp:val=&quot;007A1D17&quot;/&gt;&lt;wsp:rsid wsp:val=&quot;007A30AB&quot;/&gt;&lt;wsp:rsid wsp:val=&quot;007A33C6&quot;/&gt;&lt;wsp:rsid wsp:val=&quot;007A3697&quot;/&gt;&lt;wsp:rsid wsp:val=&quot;007A445D&quot;/&gt;&lt;wsp:rsid wsp:val=&quot;007A5694&quot;/&gt;&lt;wsp:rsid wsp:val=&quot;007A67F7&quot;/&gt;&lt;wsp:rsid wsp:val=&quot;007A6D0F&quot;/&gt;&lt;wsp:rsid wsp:val=&quot;007A7B6E&quot;/&gt;&lt;wsp:rsid wsp:val=&quot;007A7FA6&quot;/&gt;&lt;wsp:rsid wsp:val=&quot;007B00BA&quot;/&gt;&lt;wsp:rsid wsp:val=&quot;007B05DD&quot;/&gt;&lt;wsp:rsid wsp:val=&quot;007B0B73&quot;/&gt;&lt;wsp:rsid wsp:val=&quot;007B19BA&quot;/&gt;&lt;wsp:rsid wsp:val=&quot;007B1F6A&quot;/&gt;&lt;wsp:rsid wsp:val=&quot;007B2097&quot;/&gt;&lt;wsp:rsid wsp:val=&quot;007B299B&quot;/&gt;&lt;wsp:rsid wsp:val=&quot;007B3F88&quot;/&gt;&lt;wsp:rsid wsp:val=&quot;007B3FD9&quot;/&gt;&lt;wsp:rsid wsp:val=&quot;007B609A&quot;/&gt;&lt;wsp:rsid wsp:val=&quot;007B6AD4&quot;/&gt;&lt;wsp:rsid wsp:val=&quot;007B6B1A&quot;/&gt;&lt;wsp:rsid wsp:val=&quot;007B7944&quot;/&gt;&lt;wsp:rsid wsp:val=&quot;007C1724&quot;/&gt;&lt;wsp:rsid wsp:val=&quot;007C1DA9&quot;/&gt;&lt;wsp:rsid wsp:val=&quot;007C2867&quot;/&gt;&lt;wsp:rsid wsp:val=&quot;007C3E1B&quot;/&gt;&lt;wsp:rsid wsp:val=&quot;007C41AC&quot;/&gt;&lt;wsp:rsid wsp:val=&quot;007C5DBF&quot;/&gt;&lt;wsp:rsid wsp:val=&quot;007C5DFF&quot;/&gt;&lt;wsp:rsid wsp:val=&quot;007C5EC2&quot;/&gt;&lt;wsp:rsid wsp:val=&quot;007C649B&quot;/&gt;&lt;wsp:rsid wsp:val=&quot;007C712D&quot;/&gt;&lt;wsp:rsid wsp:val=&quot;007C71FA&quot;/&gt;&lt;wsp:rsid wsp:val=&quot;007C78A2&quot;/&gt;&lt;wsp:rsid wsp:val=&quot;007D014B&quot;/&gt;&lt;wsp:rsid wsp:val=&quot;007D1233&quot;/&gt;&lt;wsp:rsid wsp:val=&quot;007D21D3&quot;/&gt;&lt;wsp:rsid wsp:val=&quot;007D24C4&quot;/&gt;&lt;wsp:rsid wsp:val=&quot;007D25E5&quot;/&gt;&lt;wsp:rsid wsp:val=&quot;007D58F0&quot;/&gt;&lt;wsp:rsid wsp:val=&quot;007D65FD&quot;/&gt;&lt;wsp:rsid wsp:val=&quot;007D6F52&quot;/&gt;&lt;wsp:rsid wsp:val=&quot;007D7841&quot;/&gt;&lt;wsp:rsid wsp:val=&quot;007E00A4&quot;/&gt;&lt;wsp:rsid wsp:val=&quot;007E0578&quot;/&gt;&lt;wsp:rsid wsp:val=&quot;007E0A0D&quot;/&gt;&lt;wsp:rsid wsp:val=&quot;007E0DB4&quot;/&gt;&lt;wsp:rsid wsp:val=&quot;007E132B&quot;/&gt;&lt;wsp:rsid wsp:val=&quot;007E289D&quot;/&gt;&lt;wsp:rsid wsp:val=&quot;007E29B8&quot;/&gt;&lt;wsp:rsid wsp:val=&quot;007E325F&quot;/&gt;&lt;wsp:rsid wsp:val=&quot;007E3965&quot;/&gt;&lt;wsp:rsid wsp:val=&quot;007E76E4&quot;/&gt;&lt;wsp:rsid wsp:val=&quot;007E7928&quot;/&gt;&lt;wsp:rsid wsp:val=&quot;007E7B60&quot;/&gt;&lt;wsp:rsid wsp:val=&quot;007F08CD&quot;/&gt;&lt;wsp:rsid wsp:val=&quot;007F0BD0&quot;/&gt;&lt;wsp:rsid wsp:val=&quot;007F148A&quot;/&gt;&lt;wsp:rsid wsp:val=&quot;007F16E4&quot;/&gt;&lt;wsp:rsid wsp:val=&quot;007F1EF5&quot;/&gt;&lt;wsp:rsid wsp:val=&quot;007F2164&quot;/&gt;&lt;wsp:rsid wsp:val=&quot;007F2663&quot;/&gt;&lt;wsp:rsid wsp:val=&quot;007F28FE&quot;/&gt;&lt;wsp:rsid wsp:val=&quot;007F32E1&quot;/&gt;&lt;wsp:rsid wsp:val=&quot;007F3AF2&quot;/&gt;&lt;wsp:rsid wsp:val=&quot;007F4751&quot;/&gt;&lt;wsp:rsid wsp:val=&quot;007F4DEB&quot;/&gt;&lt;wsp:rsid wsp:val=&quot;007F5273&quot;/&gt;&lt;wsp:rsid wsp:val=&quot;007F5861&quot;/&gt;&lt;wsp:rsid wsp:val=&quot;007F5A6C&quot;/&gt;&lt;wsp:rsid wsp:val=&quot;007F5F9A&quot;/&gt;&lt;wsp:rsid wsp:val=&quot;007F6085&quot;/&gt;&lt;wsp:rsid wsp:val=&quot;007F6A11&quot;/&gt;&lt;wsp:rsid wsp:val=&quot;007F6BF9&quot;/&gt;&lt;wsp:rsid wsp:val=&quot;007F6DA9&quot;/&gt;&lt;wsp:rsid wsp:val=&quot;007F7723&quot;/&gt;&lt;wsp:rsid wsp:val=&quot;007F7AC6&quot;/&gt;&lt;wsp:rsid wsp:val=&quot;008008F4&quot;/&gt;&lt;wsp:rsid wsp:val=&quot;008012A1&quot;/&gt;&lt;wsp:rsid wsp:val=&quot;008015E7&quot;/&gt;&lt;wsp:rsid wsp:val=&quot;008016E8&quot;/&gt;&lt;wsp:rsid wsp:val=&quot;00801FCE&quot;/&gt;&lt;wsp:rsid wsp:val=&quot;00802A27&quot;/&gt;&lt;wsp:rsid wsp:val=&quot;0080314F&quot;/&gt;&lt;wsp:rsid wsp:val=&quot;00803A8E&quot;/&gt;&lt;wsp:rsid wsp:val=&quot;00804F50&quot;/&gt;&lt;wsp:rsid wsp:val=&quot;0080530D&quot;/&gt;&lt;wsp:rsid wsp:val=&quot;008069FC&quot;/&gt;&lt;wsp:rsid wsp:val=&quot;00806FDE&quot;/&gt;&lt;wsp:rsid wsp:val=&quot;00807355&quot;/&gt;&lt;wsp:rsid wsp:val=&quot;00807A07&quot;/&gt;&lt;wsp:rsid wsp:val=&quot;00807A49&quot;/&gt;&lt;wsp:rsid wsp:val=&quot;00807CDB&quot;/&gt;&lt;wsp:rsid wsp:val=&quot;00807FD6&quot;/&gt;&lt;wsp:rsid wsp:val=&quot;00807FFD&quot;/&gt;&lt;wsp:rsid wsp:val=&quot;00811268&quot;/&gt;&lt;wsp:rsid wsp:val=&quot;00811480&quot;/&gt;&lt;wsp:rsid wsp:val=&quot;00812AF5&quot;/&gt;&lt;wsp:rsid wsp:val=&quot;00813964&quot;/&gt;&lt;wsp:rsid wsp:val=&quot;00813F7D&quot;/&gt;&lt;wsp:rsid wsp:val=&quot;00815302&quot;/&gt;&lt;wsp:rsid wsp:val=&quot;00815488&quot;/&gt;&lt;wsp:rsid wsp:val=&quot;00816D31&quot;/&gt;&lt;wsp:rsid wsp:val=&quot;00817A8B&quot;/&gt;&lt;wsp:rsid wsp:val=&quot;00817AA7&quot;/&gt;&lt;wsp:rsid wsp:val=&quot;00817C86&quot;/&gt;&lt;wsp:rsid wsp:val=&quot;00817ED0&quot;/&gt;&lt;wsp:rsid wsp:val=&quot;0082129B&quot;/&gt;&lt;wsp:rsid wsp:val=&quot;008212BD&quot;/&gt;&lt;wsp:rsid wsp:val=&quot;008217E2&quot;/&gt;&lt;wsp:rsid wsp:val=&quot;00821854&quot;/&gt;&lt;wsp:rsid wsp:val=&quot;0082189C&quot;/&gt;&lt;wsp:rsid wsp:val=&quot;00821DC8&quot;/&gt;&lt;wsp:rsid wsp:val=&quot;008220FE&quot;/&gt;&lt;wsp:rsid wsp:val=&quot;00822608&quot;/&gt;&lt;wsp:rsid wsp:val=&quot;00822FF9&quot;/&gt;&lt;wsp:rsid wsp:val=&quot;00824106&quot;/&gt;&lt;wsp:rsid wsp:val=&quot;0082484F&quot;/&gt;&lt;wsp:rsid wsp:val=&quot;00824D26&quot;/&gt;&lt;wsp:rsid wsp:val=&quot;00824D91&quot;/&gt;&lt;wsp:rsid wsp:val=&quot;00826B7C&quot;/&gt;&lt;wsp:rsid wsp:val=&quot;00826C90&quot;/&gt;&lt;wsp:rsid wsp:val=&quot;00827213&quot;/&gt;&lt;wsp:rsid wsp:val=&quot;008274C0&quot;/&gt;&lt;wsp:rsid wsp:val=&quot;008276E3&quot;/&gt;&lt;wsp:rsid wsp:val=&quot;008311B7&quot;/&gt;&lt;wsp:rsid wsp:val=&quot;00831AD3&quot;/&gt;&lt;wsp:rsid wsp:val=&quot;00831D8D&quot;/&gt;&lt;wsp:rsid wsp:val=&quot;008324BA&quot;/&gt;&lt;wsp:rsid wsp:val=&quot;0083253B&quot;/&gt;&lt;wsp:rsid wsp:val=&quot;008325BB&quot;/&gt;&lt;wsp:rsid wsp:val=&quot;008327A0&quot;/&gt;&lt;wsp:rsid wsp:val=&quot;008327E5&quot;/&gt;&lt;wsp:rsid wsp:val=&quot;00832884&quot;/&gt;&lt;wsp:rsid wsp:val=&quot;00833523&quot;/&gt;&lt;wsp:rsid wsp:val=&quot;00833A18&quot;/&gt;&lt;wsp:rsid wsp:val=&quot;00833E04&quot;/&gt;&lt;wsp:rsid wsp:val=&quot;00834273&quot;/&gt;&lt;wsp:rsid wsp:val=&quot;00834D02&quot;/&gt;&lt;wsp:rsid wsp:val=&quot;00834FA6&quot;/&gt;&lt;wsp:rsid wsp:val=&quot;00835118&quot;/&gt;&lt;wsp:rsid wsp:val=&quot;008359BD&quot;/&gt;&lt;wsp:rsid wsp:val=&quot;00836A33&quot;/&gt;&lt;wsp:rsid wsp:val=&quot;008371B9&quot;/&gt;&lt;wsp:rsid wsp:val=&quot;00840BC0&quot;/&gt;&lt;wsp:rsid wsp:val=&quot;00840F67&quot;/&gt;&lt;wsp:rsid wsp:val=&quot;00841D97&quot;/&gt;&lt;wsp:rsid wsp:val=&quot;008421C9&quot;/&gt;&lt;wsp:rsid wsp:val=&quot;00842B89&quot;/&gt;&lt;wsp:rsid wsp:val=&quot;008433AD&quot;/&gt;&lt;wsp:rsid wsp:val=&quot;00843B94&quot;/&gt;&lt;wsp:rsid wsp:val=&quot;00844099&quot;/&gt;&lt;wsp:rsid wsp:val=&quot;00844A62&quot;/&gt;&lt;wsp:rsid wsp:val=&quot;00844CC3&quot;/&gt;&lt;wsp:rsid wsp:val=&quot;00845A0C&quot;/&gt;&lt;wsp:rsid wsp:val=&quot;00845AFF&quot;/&gt;&lt;wsp:rsid wsp:val=&quot;00846130&quot;/&gt;&lt;wsp:rsid wsp:val=&quot;008473D9&quot;/&gt;&lt;wsp:rsid wsp:val=&quot;00847809&quot;/&gt;&lt;wsp:rsid wsp:val=&quot;00850103&quot;/&gt;&lt;wsp:rsid wsp:val=&quot;008509E9&quot;/&gt;&lt;wsp:rsid wsp:val=&quot;00850B35&quot;/&gt;&lt;wsp:rsid wsp:val=&quot;008513F0&quot;/&gt;&lt;wsp:rsid wsp:val=&quot;00853990&quot;/&gt;&lt;wsp:rsid wsp:val=&quot;008548B6&quot;/&gt;&lt;wsp:rsid wsp:val=&quot;00854920&quot;/&gt;&lt;wsp:rsid wsp:val=&quot;00854C50&quot;/&gt;&lt;wsp:rsid wsp:val=&quot;00855279&quot;/&gt;&lt;wsp:rsid wsp:val=&quot;00855670&quot;/&gt;&lt;wsp:rsid wsp:val=&quot;008559BD&quot;/&gt;&lt;wsp:rsid wsp:val=&quot;00855E91&quot;/&gt;&lt;wsp:rsid wsp:val=&quot;008561FC&quot;/&gt;&lt;wsp:rsid wsp:val=&quot;00856401&quot;/&gt;&lt;wsp:rsid wsp:val=&quot;00856583&quot;/&gt;&lt;wsp:rsid wsp:val=&quot;008577F6&quot;/&gt;&lt;wsp:rsid wsp:val=&quot;00857DB7&quot;/&gt;&lt;wsp:rsid wsp:val=&quot;00857FD3&quot;/&gt;&lt;wsp:rsid wsp:val=&quot;0086020F&quot;/&gt;&lt;wsp:rsid wsp:val=&quot;0086069A&quot;/&gt;&lt;wsp:rsid wsp:val=&quot;00860A8A&quot;/&gt;&lt;wsp:rsid wsp:val=&quot;00861A12&quot;/&gt;&lt;wsp:rsid wsp:val=&quot;00862BFB&quot;/&gt;&lt;wsp:rsid wsp:val=&quot;00862EAB&quot;/&gt;&lt;wsp:rsid wsp:val=&quot;008634BF&quot;/&gt;&lt;wsp:rsid wsp:val=&quot;0086364F&quot;/&gt;&lt;wsp:rsid wsp:val=&quot;00864111&quot;/&gt;&lt;wsp:rsid wsp:val=&quot;008647B0&quot;/&gt;&lt;wsp:rsid wsp:val=&quot;008650FB&quot;/&gt;&lt;wsp:rsid wsp:val=&quot;00865CFA&quot;/&gt;&lt;wsp:rsid wsp:val=&quot;0086623E&quot;/&gt;&lt;wsp:rsid wsp:val=&quot;00866360&quot;/&gt;&lt;wsp:rsid wsp:val=&quot;00866B20&quot;/&gt;&lt;wsp:rsid wsp:val=&quot;008678B5&quot;/&gt;&lt;wsp:rsid wsp:val=&quot;008701A3&quot;/&gt;&lt;wsp:rsid wsp:val=&quot;00871BB9&quot;/&gt;&lt;wsp:rsid wsp:val=&quot;00872B62&quot;/&gt;&lt;wsp:rsid wsp:val=&quot;00872C89&quot;/&gt;&lt;wsp:rsid wsp:val=&quot;00873750&quot;/&gt;&lt;wsp:rsid wsp:val=&quot;00873794&quot;/&gt;&lt;wsp:rsid wsp:val=&quot;00874024&quot;/&gt;&lt;wsp:rsid wsp:val=&quot;00874F26&quot;/&gt;&lt;wsp:rsid wsp:val=&quot;00875457&quot;/&gt;&lt;wsp:rsid wsp:val=&quot;008759B2&quot;/&gt;&lt;wsp:rsid wsp:val=&quot;00875C35&quot;/&gt;&lt;wsp:rsid wsp:val=&quot;00875D71&quot;/&gt;&lt;wsp:rsid wsp:val=&quot;00876904&quot;/&gt;&lt;wsp:rsid wsp:val=&quot;00876C9B&quot;/&gt;&lt;wsp:rsid wsp:val=&quot;00876D13&quot;/&gt;&lt;wsp:rsid wsp:val=&quot;0087739D&quot;/&gt;&lt;wsp:rsid wsp:val=&quot;00880235&quot;/&gt;&lt;wsp:rsid wsp:val=&quot;008807DB&quot;/&gt;&lt;wsp:rsid wsp:val=&quot;00880CB0&quot;/&gt;&lt;wsp:rsid wsp:val=&quot;0088237B&quot;/&gt;&lt;wsp:rsid wsp:val=&quot;00883DD6&quot;/&gt;&lt;wsp:rsid wsp:val=&quot;0088445F&quot;/&gt;&lt;wsp:rsid wsp:val=&quot;00884A28&quot;/&gt;&lt;wsp:rsid wsp:val=&quot;0088505A&quot;/&gt;&lt;wsp:rsid wsp:val=&quot;00887C1E&quot;/&gt;&lt;wsp:rsid wsp:val=&quot;00887D39&quot;/&gt;&lt;wsp:rsid wsp:val=&quot;00890508&quot;/&gt;&lt;wsp:rsid wsp:val=&quot;0089088A&quot;/&gt;&lt;wsp:rsid wsp:val=&quot;00890A83&quot;/&gt;&lt;wsp:rsid wsp:val=&quot;00890FC9&quot;/&gt;&lt;wsp:rsid wsp:val=&quot;00891DC5&quot;/&gt;&lt;wsp:rsid wsp:val=&quot;0089203F&quot;/&gt;&lt;wsp:rsid wsp:val=&quot;00892871&quot;/&gt;&lt;wsp:rsid wsp:val=&quot;0089301A&quot;/&gt;&lt;wsp:rsid wsp:val=&quot;008931E6&quot;/&gt;&lt;wsp:rsid wsp:val=&quot;008941E1&quot;/&gt;&lt;wsp:rsid wsp:val=&quot;008944C7&quot;/&gt;&lt;wsp:rsid wsp:val=&quot;008947B0&quot;/&gt;&lt;wsp:rsid wsp:val=&quot;0089593B&quot;/&gt;&lt;wsp:rsid wsp:val=&quot;00895B75&quot;/&gt;&lt;wsp:rsid wsp:val=&quot;00896BA2&quot;/&gt;&lt;wsp:rsid wsp:val=&quot;00897A0C&quot;/&gt;&lt;wsp:rsid wsp:val=&quot;008A0C09&quot;/&gt;&lt;wsp:rsid wsp:val=&quot;008A1026&quot;/&gt;&lt;wsp:rsid wsp:val=&quot;008A107E&quot;/&gt;&lt;wsp:rsid wsp:val=&quot;008A1543&quot;/&gt;&lt;wsp:rsid wsp:val=&quot;008A2C61&quot;/&gt;&lt;wsp:rsid wsp:val=&quot;008A3A2B&quot;/&gt;&lt;wsp:rsid wsp:val=&quot;008A47D5&quot;/&gt;&lt;wsp:rsid wsp:val=&quot;008A4AE4&quot;/&gt;&lt;wsp:rsid wsp:val=&quot;008A54C5&quot;/&gt;&lt;wsp:rsid wsp:val=&quot;008A5552&quot;/&gt;&lt;wsp:rsid wsp:val=&quot;008A6044&quot;/&gt;&lt;wsp:rsid wsp:val=&quot;008A60EB&quot;/&gt;&lt;wsp:rsid wsp:val=&quot;008A62C9&quot;/&gt;&lt;wsp:rsid wsp:val=&quot;008A63B3&quot;/&gt;&lt;wsp:rsid wsp:val=&quot;008A64FE&quot;/&gt;&lt;wsp:rsid wsp:val=&quot;008A6D4D&quot;/&gt;&lt;wsp:rsid wsp:val=&quot;008A6DFD&quot;/&gt;&lt;wsp:rsid wsp:val=&quot;008A7B1F&quot;/&gt;&lt;wsp:rsid wsp:val=&quot;008B05EF&quot;/&gt;&lt;wsp:rsid wsp:val=&quot;008B1006&quot;/&gt;&lt;wsp:rsid wsp:val=&quot;008B1C7B&quot;/&gt;&lt;wsp:rsid wsp:val=&quot;008B22AB&quot;/&gt;&lt;wsp:rsid wsp:val=&quot;008B2C3F&quot;/&gt;&lt;wsp:rsid wsp:val=&quot;008B2FCF&quot;/&gt;&lt;wsp:rsid wsp:val=&quot;008B32B7&quot;/&gt;&lt;wsp:rsid wsp:val=&quot;008B35FF&quot;/&gt;&lt;wsp:rsid wsp:val=&quot;008B36B3&quot;/&gt;&lt;wsp:rsid wsp:val=&quot;008B383A&quot;/&gt;&lt;wsp:rsid wsp:val=&quot;008B3CA4&quot;/&gt;&lt;wsp:rsid wsp:val=&quot;008B3F4C&quot;/&gt;&lt;wsp:rsid wsp:val=&quot;008B4EAC&quot;/&gt;&lt;wsp:rsid wsp:val=&quot;008B54A9&quot;/&gt;&lt;wsp:rsid wsp:val=&quot;008B5D1D&quot;/&gt;&lt;wsp:rsid wsp:val=&quot;008B62A0&quot;/&gt;&lt;wsp:rsid wsp:val=&quot;008B64BC&quot;/&gt;&lt;wsp:rsid wsp:val=&quot;008C0319&quot;/&gt;&lt;wsp:rsid wsp:val=&quot;008C0F03&quot;/&gt;&lt;wsp:rsid wsp:val=&quot;008C13C0&quot;/&gt;&lt;wsp:rsid wsp:val=&quot;008C142E&quot;/&gt;&lt;wsp:rsid wsp:val=&quot;008C1ED9&quot;/&gt;&lt;wsp:rsid wsp:val=&quot;008C2254&quot;/&gt;&lt;wsp:rsid wsp:val=&quot;008C335B&quot;/&gt;&lt;wsp:rsid wsp:val=&quot;008C339D&quot;/&gt;&lt;wsp:rsid wsp:val=&quot;008C372E&quot;/&gt;&lt;wsp:rsid wsp:val=&quot;008C3773&quot;/&gt;&lt;wsp:rsid wsp:val=&quot;008C3B19&quot;/&gt;&lt;wsp:rsid wsp:val=&quot;008C3E4F&quot;/&gt;&lt;wsp:rsid wsp:val=&quot;008C48EC&quot;/&gt;&lt;wsp:rsid wsp:val=&quot;008C4E60&quot;/&gt;&lt;wsp:rsid wsp:val=&quot;008C4F51&quot;/&gt;&lt;wsp:rsid wsp:val=&quot;008C501C&quot;/&gt;&lt;wsp:rsid wsp:val=&quot;008C5CA9&quot;/&gt;&lt;wsp:rsid wsp:val=&quot;008C6040&quot;/&gt;&lt;wsp:rsid wsp:val=&quot;008C61B3&quot;/&gt;&lt;wsp:rsid wsp:val=&quot;008C6324&quot;/&gt;&lt;wsp:rsid wsp:val=&quot;008C6C23&quot;/&gt;&lt;wsp:rsid wsp:val=&quot;008C78AB&quot;/&gt;&lt;wsp:rsid wsp:val=&quot;008C7AC0&quot;/&gt;&lt;wsp:rsid wsp:val=&quot;008C7DB3&quot;/&gt;&lt;wsp:rsid wsp:val=&quot;008D02B5&quot;/&gt;&lt;wsp:rsid wsp:val=&quot;008D0633&quot;/&gt;&lt;wsp:rsid wsp:val=&quot;008D1068&quot;/&gt;&lt;wsp:rsid wsp:val=&quot;008D1313&quot;/&gt;&lt;wsp:rsid wsp:val=&quot;008D1A8D&quot;/&gt;&lt;wsp:rsid wsp:val=&quot;008D1DEB&quot;/&gt;&lt;wsp:rsid wsp:val=&quot;008D20C8&quot;/&gt;&lt;wsp:rsid wsp:val=&quot;008D2A69&quot;/&gt;&lt;wsp:rsid wsp:val=&quot;008D38AF&quot;/&gt;&lt;wsp:rsid wsp:val=&quot;008D4449&quot;/&gt;&lt;wsp:rsid wsp:val=&quot;008D479E&quot;/&gt;&lt;wsp:rsid wsp:val=&quot;008D5E5E&quot;/&gt;&lt;wsp:rsid wsp:val=&quot;008D60F3&quot;/&gt;&lt;wsp:rsid wsp:val=&quot;008D7540&quot;/&gt;&lt;wsp:rsid wsp:val=&quot;008D7EE9&quot;/&gt;&lt;wsp:rsid wsp:val=&quot;008E13C7&quot;/&gt;&lt;wsp:rsid wsp:val=&quot;008E178F&quot;/&gt;&lt;wsp:rsid wsp:val=&quot;008E1928&quot;/&gt;&lt;wsp:rsid wsp:val=&quot;008E1A87&quot;/&gt;&lt;wsp:rsid wsp:val=&quot;008E1D0E&quot;/&gt;&lt;wsp:rsid wsp:val=&quot;008E224C&quot;/&gt;&lt;wsp:rsid wsp:val=&quot;008E2ADD&quot;/&gt;&lt;wsp:rsid wsp:val=&quot;008E2E8D&quot;/&gt;&lt;wsp:rsid wsp:val=&quot;008E3345&quot;/&gt;&lt;wsp:rsid wsp:val=&quot;008E411E&quot;/&gt;&lt;wsp:rsid wsp:val=&quot;008E48E4&quot;/&gt;&lt;wsp:rsid wsp:val=&quot;008E4A2B&quot;/&gt;&lt;wsp:rsid wsp:val=&quot;008E4DFB&quot;/&gt;&lt;wsp:rsid wsp:val=&quot;008E5CD1&quot;/&gt;&lt;wsp:rsid wsp:val=&quot;008E5D9D&quot;/&gt;&lt;wsp:rsid wsp:val=&quot;008E6005&quot;/&gt;&lt;wsp:rsid wsp:val=&quot;008E66A4&quot;/&gt;&lt;wsp:rsid wsp:val=&quot;008E6AFD&quot;/&gt;&lt;wsp:rsid wsp:val=&quot;008E6C6C&quot;/&gt;&lt;wsp:rsid wsp:val=&quot;008E75A7&quot;/&gt;&lt;wsp:rsid wsp:val=&quot;008E7B82&quot;/&gt;&lt;wsp:rsid wsp:val=&quot;008E7CF5&quot;/&gt;&lt;wsp:rsid wsp:val=&quot;008F03BB&quot;/&gt;&lt;wsp:rsid wsp:val=&quot;008F1220&quot;/&gt;&lt;wsp:rsid wsp:val=&quot;008F2009&quot;/&gt;&lt;wsp:rsid wsp:val=&quot;008F3B06&quot;/&gt;&lt;wsp:rsid wsp:val=&quot;008F4BFF&quot;/&gt;&lt;wsp:rsid wsp:val=&quot;008F5451&quot;/&gt;&lt;wsp:rsid wsp:val=&quot;008F55B7&quot;/&gt;&lt;wsp:rsid wsp:val=&quot;008F60BE&quot;/&gt;&lt;wsp:rsid wsp:val=&quot;008F610A&quot;/&gt;&lt;wsp:rsid wsp:val=&quot;008F635C&quot;/&gt;&lt;wsp:rsid wsp:val=&quot;008F657D&quot;/&gt;&lt;wsp:rsid wsp:val=&quot;008F663C&quot;/&gt;&lt;wsp:rsid wsp:val=&quot;008F706C&quot;/&gt;&lt;wsp:rsid wsp:val=&quot;008F7481&quot;/&gt;&lt;wsp:rsid wsp:val=&quot;008F769A&quot;/&gt;&lt;wsp:rsid wsp:val=&quot;008F7B3E&quot;/&gt;&lt;wsp:rsid wsp:val=&quot;008F7CF7&quot;/&gt;&lt;wsp:rsid wsp:val=&quot;00900D8C&quot;/&gt;&lt;wsp:rsid wsp:val=&quot;00900FD2&quot;/&gt;&lt;wsp:rsid wsp:val=&quot;0090190F&quot;/&gt;&lt;wsp:rsid wsp:val=&quot;00901B5F&quot;/&gt;&lt;wsp:rsid wsp:val=&quot;00902877&quot;/&gt;&lt;wsp:rsid wsp:val=&quot;00902B2F&quot;/&gt;&lt;wsp:rsid wsp:val=&quot;00903086&quot;/&gt;&lt;wsp:rsid wsp:val=&quot;00903189&quot;/&gt;&lt;wsp:rsid wsp:val=&quot;009046D1&quot;/&gt;&lt;wsp:rsid wsp:val=&quot;00905355&quot;/&gt;&lt;wsp:rsid wsp:val=&quot;00905E24&quot;/&gt;&lt;wsp:rsid wsp:val=&quot;00906815&quot;/&gt;&lt;wsp:rsid wsp:val=&quot;00906A91&quot;/&gt;&lt;wsp:rsid wsp:val=&quot;00910253&quot;/&gt;&lt;wsp:rsid wsp:val=&quot;00910791&quot;/&gt;&lt;wsp:rsid wsp:val=&quot;00911458&quot;/&gt;&lt;wsp:rsid wsp:val=&quot;00911B2F&quot;/&gt;&lt;wsp:rsid wsp:val=&quot;009126AC&quot;/&gt;&lt;wsp:rsid wsp:val=&quot;0091297B&quot;/&gt;&lt;wsp:rsid wsp:val=&quot;00912B8A&quot;/&gt;&lt;wsp:rsid wsp:val=&quot;00913725&quot;/&gt;&lt;wsp:rsid wsp:val=&quot;00913CD8&quot;/&gt;&lt;wsp:rsid wsp:val=&quot;009141AD&quot;/&gt;&lt;wsp:rsid wsp:val=&quot;00914231&quot;/&gt;&lt;wsp:rsid wsp:val=&quot;009143E5&quot;/&gt;&lt;wsp:rsid wsp:val=&quot;009146D6&quot;/&gt;&lt;wsp:rsid wsp:val=&quot;00915644&quot;/&gt;&lt;wsp:rsid wsp:val=&quot;00917BFC&quot;/&gt;&lt;wsp:rsid wsp:val=&quot;009212B4&quot;/&gt;&lt;wsp:rsid wsp:val=&quot;00921615&quot;/&gt;&lt;wsp:rsid wsp:val=&quot;00921C93&quot;/&gt;&lt;wsp:rsid wsp:val=&quot;00921D4C&quot;/&gt;&lt;wsp:rsid wsp:val=&quot;00922431&quot;/&gt;&lt;wsp:rsid wsp:val=&quot;00924F3A&quot;/&gt;&lt;wsp:rsid wsp:val=&quot;00925303&quot;/&gt;&lt;wsp:rsid wsp:val=&quot;00927615&quot;/&gt;&lt;wsp:rsid wsp:val=&quot;00927815&quot;/&gt;&lt;wsp:rsid wsp:val=&quot;00930127&quot;/&gt;&lt;wsp:rsid wsp:val=&quot;00930550&quot;/&gt;&lt;wsp:rsid wsp:val=&quot;00930D17&quot;/&gt;&lt;wsp:rsid wsp:val=&quot;009315A4&quot;/&gt;&lt;wsp:rsid wsp:val=&quot;00931771&quot;/&gt;&lt;wsp:rsid wsp:val=&quot;0093190F&quot;/&gt;&lt;wsp:rsid wsp:val=&quot;00931DD5&quot;/&gt;&lt;wsp:rsid wsp:val=&quot;00931E82&quot;/&gt;&lt;wsp:rsid wsp:val=&quot;009321E4&quot;/&gt;&lt;wsp:rsid wsp:val=&quot;009330E3&quot;/&gt;&lt;wsp:rsid wsp:val=&quot;009332D9&quot;/&gt;&lt;wsp:rsid wsp:val=&quot;0093392F&quot;/&gt;&lt;wsp:rsid wsp:val=&quot;00934385&quot;/&gt;&lt;wsp:rsid wsp:val=&quot;009343E1&quot;/&gt;&lt;wsp:rsid wsp:val=&quot;00934CBA&quot;/&gt;&lt;wsp:rsid wsp:val=&quot;0093545B&quot;/&gt;&lt;wsp:rsid wsp:val=&quot;00935AA4&quot;/&gt;&lt;wsp:rsid wsp:val=&quot;00936551&quot;/&gt;&lt;wsp:rsid wsp:val=&quot;00936C68&quot;/&gt;&lt;wsp:rsid wsp:val=&quot;00937DCC&quot;/&gt;&lt;wsp:rsid wsp:val=&quot;00940F7D&quot;/&gt;&lt;wsp:rsid wsp:val=&quot;0094181E&quot;/&gt;&lt;wsp:rsid wsp:val=&quot;00942074&quot;/&gt;&lt;wsp:rsid wsp:val=&quot;00942304&quot;/&gt;&lt;wsp:rsid wsp:val=&quot;00942D02&quot;/&gt;&lt;wsp:rsid wsp:val=&quot;009435CB&quot;/&gt;&lt;wsp:rsid wsp:val=&quot;00943908&quot;/&gt;&lt;wsp:rsid wsp:val=&quot;00944BC8&quot;/&gt;&lt;wsp:rsid wsp:val=&quot;009457DA&quot;/&gt;&lt;wsp:rsid wsp:val=&quot;00945BE9&quot;/&gt;&lt;wsp:rsid wsp:val=&quot;0094796C&quot;/&gt;&lt;wsp:rsid wsp:val=&quot;00947A5F&quot;/&gt;&lt;wsp:rsid wsp:val=&quot;00947FB4&quot;/&gt;&lt;wsp:rsid wsp:val=&quot;00950DF7&quot;/&gt;&lt;wsp:rsid wsp:val=&quot;0095133C&quot;/&gt;&lt;wsp:rsid wsp:val=&quot;0095151A&quot;/&gt;&lt;wsp:rsid wsp:val=&quot;0095154C&quot;/&gt;&lt;wsp:rsid wsp:val=&quot;009520B3&quot;/&gt;&lt;wsp:rsid wsp:val=&quot;009548B4&quot;/&gt;&lt;wsp:rsid wsp:val=&quot;00955744&quot;/&gt;&lt;wsp:rsid wsp:val=&quot;00955752&quot;/&gt;&lt;wsp:rsid wsp:val=&quot;009573CB&quot;/&gt;&lt;wsp:rsid wsp:val=&quot;00957741&quot;/&gt;&lt;wsp:rsid wsp:val=&quot;0096082E&quot;/&gt;&lt;wsp:rsid wsp:val=&quot;00960B5E&quot;/&gt;&lt;wsp:rsid wsp:val=&quot;00960EBA&quot;/&gt;&lt;wsp:rsid wsp:val=&quot;009612E5&quot;/&gt;&lt;wsp:rsid wsp:val=&quot;009622FB&quot;/&gt;&lt;wsp:rsid wsp:val=&quot;00962341&quot;/&gt;&lt;wsp:rsid wsp:val=&quot;00962536&quot;/&gt;&lt;wsp:rsid wsp:val=&quot;0096403B&quot;/&gt;&lt;wsp:rsid wsp:val=&quot;009645E4&quot;/&gt;&lt;wsp:rsid wsp:val=&quot;00964634&quot;/&gt;&lt;wsp:rsid wsp:val=&quot;00964F2A&quot;/&gt;&lt;wsp:rsid wsp:val=&quot;009652A7&quot;/&gt;&lt;wsp:rsid wsp:val=&quot;00965695&quot;/&gt;&lt;wsp:rsid wsp:val=&quot;009657CB&quot;/&gt;&lt;wsp:rsid wsp:val=&quot;0096657B&quot;/&gt;&lt;wsp:rsid wsp:val=&quot;00967157&quot;/&gt;&lt;wsp:rsid wsp:val=&quot;00967924&quot;/&gt;&lt;wsp:rsid wsp:val=&quot;009708FB&quot;/&gt;&lt;wsp:rsid wsp:val=&quot;00970DDD&quot;/&gt;&lt;wsp:rsid wsp:val=&quot;009713FC&quot;/&gt;&lt;wsp:rsid wsp:val=&quot;009714D8&quot;/&gt;&lt;wsp:rsid wsp:val=&quot;009742A9&quot;/&gt;&lt;wsp:rsid wsp:val=&quot;0097490A&quot;/&gt;&lt;wsp:rsid wsp:val=&quot;009754B0&quot;/&gt;&lt;wsp:rsid wsp:val=&quot;0097609B&quot;/&gt;&lt;wsp:rsid wsp:val=&quot;009763DB&quot;/&gt;&lt;wsp:rsid wsp:val=&quot;00976A47&quot;/&gt;&lt;wsp:rsid wsp:val=&quot;00980BFE&quot;/&gt;&lt;wsp:rsid wsp:val=&quot;00980CD5&quot;/&gt;&lt;wsp:rsid wsp:val=&quot;00981AED&quot;/&gt;&lt;wsp:rsid wsp:val=&quot;00981FDE&quot;/&gt;&lt;wsp:rsid wsp:val=&quot;00982D6F&quot;/&gt;&lt;wsp:rsid wsp:val=&quot;00983C09&quot;/&gt;&lt;wsp:rsid wsp:val=&quot;00983F55&quot;/&gt;&lt;wsp:rsid wsp:val=&quot;009848DE&quot;/&gt;&lt;wsp:rsid wsp:val=&quot;009854DA&quot;/&gt;&lt;wsp:rsid wsp:val=&quot;00986356&quot;/&gt;&lt;wsp:rsid wsp:val=&quot;00987295&quot;/&gt;&lt;wsp:rsid wsp:val=&quot;00987B16&quot;/&gt;&lt;wsp:rsid wsp:val=&quot;00990FAB&quot;/&gt;&lt;wsp:rsid wsp:val=&quot;009913C0&quot;/&gt;&lt;wsp:rsid wsp:val=&quot;0099186D&quot;/&gt;&lt;wsp:rsid wsp:val=&quot;00991C06&quot;/&gt;&lt;wsp:rsid wsp:val=&quot;00991C82&quot;/&gt;&lt;wsp:rsid wsp:val=&quot;00992522&quot;/&gt;&lt;wsp:rsid wsp:val=&quot;00992727&quot;/&gt;&lt;wsp:rsid wsp:val=&quot;009928CF&quot;/&gt;&lt;wsp:rsid wsp:val=&quot;00992AEC&quot;/&gt;&lt;wsp:rsid wsp:val=&quot;00993765&quot;/&gt;&lt;wsp:rsid wsp:val=&quot;009939F9&quot;/&gt;&lt;wsp:rsid wsp:val=&quot;00993BE7&quot;/&gt;&lt;wsp:rsid wsp:val=&quot;00995134&quot;/&gt;&lt;wsp:rsid wsp:val=&quot;009954BC&quot;/&gt;&lt;wsp:rsid wsp:val=&quot;00995F15&quot;/&gt;&lt;wsp:rsid wsp:val=&quot;00995F6C&quot;/&gt;&lt;wsp:rsid wsp:val=&quot;009978F6&quot;/&gt;&lt;wsp:rsid wsp:val=&quot;009A02C2&quot;/&gt;&lt;wsp:rsid wsp:val=&quot;009A12BE&quot;/&gt;&lt;wsp:rsid wsp:val=&quot;009A1408&quot;/&gt;&lt;wsp:rsid wsp:val=&quot;009A17B0&quot;/&gt;&lt;wsp:rsid wsp:val=&quot;009A18AE&quot;/&gt;&lt;wsp:rsid wsp:val=&quot;009A1D85&quot;/&gt;&lt;wsp:rsid wsp:val=&quot;009A1F56&quot;/&gt;&lt;wsp:rsid wsp:val=&quot;009A24CC&quot;/&gt;&lt;wsp:rsid wsp:val=&quot;009A3048&quot;/&gt;&lt;wsp:rsid wsp:val=&quot;009A3585&quot;/&gt;&lt;wsp:rsid wsp:val=&quot;009A3C11&quot;/&gt;&lt;wsp:rsid wsp:val=&quot;009A3D0C&quot;/&gt;&lt;wsp:rsid wsp:val=&quot;009A3D7A&quot;/&gt;&lt;wsp:rsid wsp:val=&quot;009A49C4&quot;/&gt;&lt;wsp:rsid wsp:val=&quot;009A5659&quot;/&gt;&lt;wsp:rsid wsp:val=&quot;009A6C89&quot;/&gt;&lt;wsp:rsid wsp:val=&quot;009B006F&quot;/&gt;&lt;wsp:rsid wsp:val=&quot;009B10FA&quot;/&gt;&lt;wsp:rsid wsp:val=&quot;009B112E&quot;/&gt;&lt;wsp:rsid wsp:val=&quot;009B13A0&quot;/&gt;&lt;wsp:rsid wsp:val=&quot;009B1A22&quot;/&gt;&lt;wsp:rsid wsp:val=&quot;009B1A7F&quot;/&gt;&lt;wsp:rsid wsp:val=&quot;009B1B89&quot;/&gt;&lt;wsp:rsid wsp:val=&quot;009B207A&quot;/&gt;&lt;wsp:rsid wsp:val=&quot;009B2F2D&quot;/&gt;&lt;wsp:rsid wsp:val=&quot;009B371C&quot;/&gt;&lt;wsp:rsid wsp:val=&quot;009B546E&quot;/&gt;&lt;wsp:rsid wsp:val=&quot;009B60B2&quot;/&gt;&lt;wsp:rsid wsp:val=&quot;009B62BE&quot;/&gt;&lt;wsp:rsid wsp:val=&quot;009B772D&quot;/&gt;&lt;wsp:rsid wsp:val=&quot;009C0E5F&quot;/&gt;&lt;wsp:rsid wsp:val=&quot;009C11BA&quot;/&gt;&lt;wsp:rsid wsp:val=&quot;009C2B2D&quot;/&gt;&lt;wsp:rsid wsp:val=&quot;009C43B6&quot;/&gt;&lt;wsp:rsid wsp:val=&quot;009C5103&quot;/&gt;&lt;wsp:rsid wsp:val=&quot;009C51C1&quot;/&gt;&lt;wsp:rsid wsp:val=&quot;009C56BD&quot;/&gt;&lt;wsp:rsid wsp:val=&quot;009C5BEA&quot;/&gt;&lt;wsp:rsid wsp:val=&quot;009C644E&quot;/&gt;&lt;wsp:rsid wsp:val=&quot;009C66A3&quot;/&gt;&lt;wsp:rsid wsp:val=&quot;009C68B5&quot;/&gt;&lt;wsp:rsid wsp:val=&quot;009C6C72&quot;/&gt;&lt;wsp:rsid wsp:val=&quot;009C7000&quot;/&gt;&lt;wsp:rsid wsp:val=&quot;009D0551&quot;/&gt;&lt;wsp:rsid wsp:val=&quot;009D1516&quot;/&gt;&lt;wsp:rsid wsp:val=&quot;009D1B6F&quot;/&gt;&lt;wsp:rsid wsp:val=&quot;009D2A0B&quot;/&gt;&lt;wsp:rsid wsp:val=&quot;009D2D0B&quot;/&gt;&lt;wsp:rsid wsp:val=&quot;009D3D24&quot;/&gt;&lt;wsp:rsid wsp:val=&quot;009D41AC&quot;/&gt;&lt;wsp:rsid wsp:val=&quot;009D47EA&quot;/&gt;&lt;wsp:rsid wsp:val=&quot;009D5381&quot;/&gt;&lt;wsp:rsid wsp:val=&quot;009D5A56&quot;/&gt;&lt;wsp:rsid wsp:val=&quot;009D6032&quot;/&gt;&lt;wsp:rsid wsp:val=&quot;009D690D&quot;/&gt;&lt;wsp:rsid wsp:val=&quot;009D7C5B&quot;/&gt;&lt;wsp:rsid wsp:val=&quot;009D7F7A&quot;/&gt;&lt;wsp:rsid wsp:val=&quot;009E0321&quot;/&gt;&lt;wsp:rsid wsp:val=&quot;009E1108&quot;/&gt;&lt;wsp:rsid wsp:val=&quot;009E15D7&quot;/&gt;&lt;wsp:rsid wsp:val=&quot;009E2546&quot;/&gt;&lt;wsp:rsid wsp:val=&quot;009E295A&quot;/&gt;&lt;wsp:rsid wsp:val=&quot;009E316B&quot;/&gt;&lt;wsp:rsid wsp:val=&quot;009E49EA&quot;/&gt;&lt;wsp:rsid wsp:val=&quot;009E5B3F&quot;/&gt;&lt;wsp:rsid wsp:val=&quot;009E649A&quot;/&gt;&lt;wsp:rsid wsp:val=&quot;009E6B6B&quot;/&gt;&lt;wsp:rsid wsp:val=&quot;009E73D9&quot;/&gt;&lt;wsp:rsid wsp:val=&quot;009E73E5&quot;/&gt;&lt;wsp:rsid wsp:val=&quot;009F01D8&quot;/&gt;&lt;wsp:rsid wsp:val=&quot;009F03E5&quot;/&gt;&lt;wsp:rsid wsp:val=&quot;009F120B&quot;/&gt;&lt;wsp:rsid wsp:val=&quot;009F1CC1&quot;/&gt;&lt;wsp:rsid wsp:val=&quot;009F374F&quot;/&gt;&lt;wsp:rsid wsp:val=&quot;009F3888&quot;/&gt;&lt;wsp:rsid wsp:val=&quot;009F3BFF&quot;/&gt;&lt;wsp:rsid wsp:val=&quot;009F45CD&quot;/&gt;&lt;wsp:rsid wsp:val=&quot;009F53BF&quot;/&gt;&lt;wsp:rsid wsp:val=&quot;009F53DA&quot;/&gt;&lt;wsp:rsid wsp:val=&quot;009F5ABA&quot;/&gt;&lt;wsp:rsid wsp:val=&quot;009F62A2&quot;/&gt;&lt;wsp:rsid wsp:val=&quot;009F69C8&quot;/&gt;&lt;wsp:rsid wsp:val=&quot;009F71C7&quot;/&gt;&lt;wsp:rsid wsp:val=&quot;009F77F2&quot;/&gt;&lt;wsp:rsid wsp:val=&quot;009F7E75&quot;/&gt;&lt;wsp:rsid wsp:val=&quot;00A01530&quot;/&gt;&lt;wsp:rsid wsp:val=&quot;00A0246D&quot;/&gt;&lt;wsp:rsid wsp:val=&quot;00A0263E&quot;/&gt;&lt;wsp:rsid wsp:val=&quot;00A02F9C&quot;/&gt;&lt;wsp:rsid wsp:val=&quot;00A0491C&quot;/&gt;&lt;wsp:rsid wsp:val=&quot;00A04E10&quot;/&gt;&lt;wsp:rsid wsp:val=&quot;00A0526B&quot;/&gt;&lt;wsp:rsid wsp:val=&quot;00A05DD5&quot;/&gt;&lt;wsp:rsid wsp:val=&quot;00A06A10&quot;/&gt;&lt;wsp:rsid wsp:val=&quot;00A07126&quot;/&gt;&lt;wsp:rsid wsp:val=&quot;00A0755C&quot;/&gt;&lt;wsp:rsid wsp:val=&quot;00A0792E&quot;/&gt;&lt;wsp:rsid wsp:val=&quot;00A07BBE&quot;/&gt;&lt;wsp:rsid wsp:val=&quot;00A104D4&quot;/&gt;&lt;wsp:rsid wsp:val=&quot;00A1065B&quot;/&gt;&lt;wsp:rsid wsp:val=&quot;00A11563&quot;/&gt;&lt;wsp:rsid wsp:val=&quot;00A1157B&quot;/&gt;&lt;wsp:rsid wsp:val=&quot;00A12FB2&quot;/&gt;&lt;wsp:rsid wsp:val=&quot;00A1368B&quot;/&gt;&lt;wsp:rsid wsp:val=&quot;00A14C3A&quot;/&gt;&lt;wsp:rsid wsp:val=&quot;00A14F45&quot;/&gt;&lt;wsp:rsid wsp:val=&quot;00A14F91&quot;/&gt;&lt;wsp:rsid wsp:val=&quot;00A160EC&quot;/&gt;&lt;wsp:rsid wsp:val=&quot;00A17074&quot;/&gt;&lt;wsp:rsid wsp:val=&quot;00A20823&quot;/&gt;&lt;wsp:rsid wsp:val=&quot;00A20DD8&quot;/&gt;&lt;wsp:rsid wsp:val=&quot;00A21130&quot;/&gt;&lt;wsp:rsid wsp:val=&quot;00A2150E&quot;/&gt;&lt;wsp:rsid wsp:val=&quot;00A21DD7&quot;/&gt;&lt;wsp:rsid wsp:val=&quot;00A2298E&quot;/&gt;&lt;wsp:rsid wsp:val=&quot;00A22AD7&quot;/&gt;&lt;wsp:rsid wsp:val=&quot;00A23126&quot;/&gt;&lt;wsp:rsid wsp:val=&quot;00A232D2&quot;/&gt;&lt;wsp:rsid wsp:val=&quot;00A23517&quot;/&gt;&lt;wsp:rsid wsp:val=&quot;00A23C19&quot;/&gt;&lt;wsp:rsid wsp:val=&quot;00A2403D&quot;/&gt;&lt;wsp:rsid wsp:val=&quot;00A24C09&quot;/&gt;&lt;wsp:rsid wsp:val=&quot;00A2503D&quot;/&gt;&lt;wsp:rsid wsp:val=&quot;00A2504A&quot;/&gt;&lt;wsp:rsid wsp:val=&quot;00A25199&quot;/&gt;&lt;wsp:rsid wsp:val=&quot;00A2528E&quot;/&gt;&lt;wsp:rsid wsp:val=&quot;00A263BF&quot;/&gt;&lt;wsp:rsid wsp:val=&quot;00A26CB4&quot;/&gt;&lt;wsp:rsid wsp:val=&quot;00A27C95&quot;/&gt;&lt;wsp:rsid wsp:val=&quot;00A30891&quot;/&gt;&lt;wsp:rsid wsp:val=&quot;00A30D37&quot;/&gt;&lt;wsp:rsid wsp:val=&quot;00A30F4B&quot;/&gt;&lt;wsp:rsid wsp:val=&quot;00A31558&quot;/&gt;&lt;wsp:rsid wsp:val=&quot;00A31DC1&quot;/&gt;&lt;wsp:rsid wsp:val=&quot;00A31E0D&quot;/&gt;&lt;wsp:rsid wsp:val=&quot;00A320BC&quot;/&gt;&lt;wsp:rsid wsp:val=&quot;00A323EF&quot;/&gt;&lt;wsp:rsid wsp:val=&quot;00A32DBD&quot;/&gt;&lt;wsp:rsid wsp:val=&quot;00A33387&quot;/&gt;&lt;wsp:rsid wsp:val=&quot;00A3399A&quot;/&gt;&lt;wsp:rsid wsp:val=&quot;00A33D2F&quot;/&gt;&lt;wsp:rsid wsp:val=&quot;00A34B0D&quot;/&gt;&lt;wsp:rsid wsp:val=&quot;00A364B0&quot;/&gt;&lt;wsp:rsid wsp:val=&quot;00A36974&quot;/&gt;&lt;wsp:rsid wsp:val=&quot;00A36CFF&quot;/&gt;&lt;wsp:rsid wsp:val=&quot;00A36E2B&quot;/&gt;&lt;wsp:rsid wsp:val=&quot;00A3722C&quot;/&gt;&lt;wsp:rsid wsp:val=&quot;00A3744C&quot;/&gt;&lt;wsp:rsid wsp:val=&quot;00A37E0D&quot;/&gt;&lt;wsp:rsid wsp:val=&quot;00A402E2&quot;/&gt;&lt;wsp:rsid wsp:val=&quot;00A40AEA&quot;/&gt;&lt;wsp:rsid wsp:val=&quot;00A40D24&quot;/&gt;&lt;wsp:rsid wsp:val=&quot;00A40FB9&quot;/&gt;&lt;wsp:rsid wsp:val=&quot;00A435D7&quot;/&gt;&lt;wsp:rsid wsp:val=&quot;00A43697&quot;/&gt;&lt;wsp:rsid wsp:val=&quot;00A43BAF&quot;/&gt;&lt;wsp:rsid wsp:val=&quot;00A45446&quot;/&gt;&lt;wsp:rsid wsp:val=&quot;00A46BB7&quot;/&gt;&lt;wsp:rsid wsp:val=&quot;00A5031D&quot;/&gt;&lt;wsp:rsid wsp:val=&quot;00A50405&quot;/&gt;&lt;wsp:rsid wsp:val=&quot;00A512E3&quot;/&gt;&lt;wsp:rsid wsp:val=&quot;00A51347&quot;/&gt;&lt;wsp:rsid wsp:val=&quot;00A51F70&quot;/&gt;&lt;wsp:rsid wsp:val=&quot;00A52905&quot;/&gt;&lt;wsp:rsid wsp:val=&quot;00A52E5C&quot;/&gt;&lt;wsp:rsid wsp:val=&quot;00A53B26&quot;/&gt;&lt;wsp:rsid wsp:val=&quot;00A542B6&quot;/&gt;&lt;wsp:rsid wsp:val=&quot;00A54413&quot;/&gt;&lt;wsp:rsid wsp:val=&quot;00A54987&quot;/&gt;&lt;wsp:rsid wsp:val=&quot;00A558DC&quot;/&gt;&lt;wsp:rsid wsp:val=&quot;00A55995&quot;/&gt;&lt;wsp:rsid wsp:val=&quot;00A55E58&quot;/&gt;&lt;wsp:rsid wsp:val=&quot;00A55E89&quot;/&gt;&lt;wsp:rsid wsp:val=&quot;00A608BD&quot;/&gt;&lt;wsp:rsid wsp:val=&quot;00A61E8E&quot;/&gt;&lt;wsp:rsid wsp:val=&quot;00A61F18&quot;/&gt;&lt;wsp:rsid wsp:val=&quot;00A62170&quot;/&gt;&lt;wsp:rsid wsp:val=&quot;00A625DE&quot;/&gt;&lt;wsp:rsid wsp:val=&quot;00A629E9&quot;/&gt;&lt;wsp:rsid wsp:val=&quot;00A62A2D&quot;/&gt;&lt;wsp:rsid wsp:val=&quot;00A63347&quot;/&gt;&lt;wsp:rsid wsp:val=&quot;00A638D1&quot;/&gt;&lt;wsp:rsid wsp:val=&quot;00A63B5C&quot;/&gt;&lt;wsp:rsid wsp:val=&quot;00A63BC4&quot;/&gt;&lt;wsp:rsid wsp:val=&quot;00A64B4A&quot;/&gt;&lt;wsp:rsid wsp:val=&quot;00A65415&quot;/&gt;&lt;wsp:rsid wsp:val=&quot;00A66850&quot;/&gt;&lt;wsp:rsid wsp:val=&quot;00A67363&quot;/&gt;&lt;wsp:rsid wsp:val=&quot;00A6786B&quot;/&gt;&lt;wsp:rsid wsp:val=&quot;00A70036&quot;/&gt;&lt;wsp:rsid wsp:val=&quot;00A70483&quot;/&gt;&lt;wsp:rsid wsp:val=&quot;00A70761&quot;/&gt;&lt;wsp:rsid wsp:val=&quot;00A70866&quot;/&gt;&lt;wsp:rsid wsp:val=&quot;00A70E10&quot;/&gt;&lt;wsp:rsid wsp:val=&quot;00A71262&quot;/&gt;&lt;wsp:rsid wsp:val=&quot;00A71349&quot;/&gt;&lt;wsp:rsid wsp:val=&quot;00A71EFB&quot;/&gt;&lt;wsp:rsid wsp:val=&quot;00A726CA&quot;/&gt;&lt;wsp:rsid wsp:val=&quot;00A727DB&quot;/&gt;&lt;wsp:rsid wsp:val=&quot;00A72802&quot;/&gt;&lt;wsp:rsid wsp:val=&quot;00A7474C&quot;/&gt;&lt;wsp:rsid wsp:val=&quot;00A74AD8&quot;/&gt;&lt;wsp:rsid wsp:val=&quot;00A74E5F&quot;/&gt;&lt;wsp:rsid wsp:val=&quot;00A753C3&quot;/&gt;&lt;wsp:rsid wsp:val=&quot;00A75806&quot;/&gt;&lt;wsp:rsid wsp:val=&quot;00A75DD0&quot;/&gt;&lt;wsp:rsid wsp:val=&quot;00A76E34&quot;/&gt;&lt;wsp:rsid wsp:val=&quot;00A77404&quot;/&gt;&lt;wsp:rsid wsp:val=&quot;00A775B8&quot;/&gt;&lt;wsp:rsid wsp:val=&quot;00A77682&quot;/&gt;&lt;wsp:rsid wsp:val=&quot;00A77BEC&quot;/&gt;&lt;wsp:rsid wsp:val=&quot;00A806E1&quot;/&gt;&lt;wsp:rsid wsp:val=&quot;00A81320&quot;/&gt;&lt;wsp:rsid wsp:val=&quot;00A82BA3&quot;/&gt;&lt;wsp:rsid wsp:val=&quot;00A83E14&quot;/&gt;&lt;wsp:rsid wsp:val=&quot;00A8440C&quot;/&gt;&lt;wsp:rsid wsp:val=&quot;00A85070&quot;/&gt;&lt;wsp:rsid wsp:val=&quot;00A850F3&quot;/&gt;&lt;wsp:rsid wsp:val=&quot;00A85341&quot;/&gt;&lt;wsp:rsid wsp:val=&quot;00A85367&quot;/&gt;&lt;wsp:rsid wsp:val=&quot;00A85A2F&quot;/&gt;&lt;wsp:rsid wsp:val=&quot;00A867C3&quot;/&gt;&lt;wsp:rsid wsp:val=&quot;00A868FD&quot;/&gt;&lt;wsp:rsid wsp:val=&quot;00A869DB&quot;/&gt;&lt;wsp:rsid wsp:val=&quot;00A872EC&quot;/&gt;&lt;wsp:rsid wsp:val=&quot;00A87BEA&quot;/&gt;&lt;wsp:rsid wsp:val=&quot;00A90EC5&quot;/&gt;&lt;wsp:rsid wsp:val=&quot;00A90EF8&quot;/&gt;&lt;wsp:rsid wsp:val=&quot;00A90FD1&quot;/&gt;&lt;wsp:rsid wsp:val=&quot;00A92C50&quot;/&gt;&lt;wsp:rsid wsp:val=&quot;00A93A94&quot;/&gt;&lt;wsp:rsid wsp:val=&quot;00A946B6&quot;/&gt;&lt;wsp:rsid wsp:val=&quot;00A9475C&quot;/&gt;&lt;wsp:rsid wsp:val=&quot;00A94D84&quot;/&gt;&lt;wsp:rsid wsp:val=&quot;00A95B8D&quot;/&gt;&lt;wsp:rsid wsp:val=&quot;00A965CC&quot;/&gt;&lt;wsp:rsid wsp:val=&quot;00A97435&quot;/&gt;&lt;wsp:rsid wsp:val=&quot;00A975B5&quot;/&gt;&lt;wsp:rsid wsp:val=&quot;00A9784F&quot;/&gt;&lt;wsp:rsid wsp:val=&quot;00A97EEF&quot;/&gt;&lt;wsp:rsid wsp:val=&quot;00AA00A0&quot;/&gt;&lt;wsp:rsid wsp:val=&quot;00AA0845&quot;/&gt;&lt;wsp:rsid wsp:val=&quot;00AA1F7C&quot;/&gt;&lt;wsp:rsid wsp:val=&quot;00AA2D68&quot;/&gt;&lt;wsp:rsid wsp:val=&quot;00AA30DB&quot;/&gt;&lt;wsp:rsid wsp:val=&quot;00AA396D&quot;/&gt;&lt;wsp:rsid wsp:val=&quot;00AA3B52&quot;/&gt;&lt;wsp:rsid wsp:val=&quot;00AA3F73&quot;/&gt;&lt;wsp:rsid wsp:val=&quot;00AA434E&quot;/&gt;&lt;wsp:rsid wsp:val=&quot;00AA5E1F&quot;/&gt;&lt;wsp:rsid wsp:val=&quot;00AA64A0&quot;/&gt;&lt;wsp:rsid wsp:val=&quot;00AA668D&quot;/&gt;&lt;wsp:rsid wsp:val=&quot;00AA7127&quot;/&gt;&lt;wsp:rsid wsp:val=&quot;00AA727A&quot;/&gt;&lt;wsp:rsid wsp:val=&quot;00AA73E7&quot;/&gt;&lt;wsp:rsid wsp:val=&quot;00AA76F4&quot;/&gt;&lt;wsp:rsid wsp:val=&quot;00AB0120&quot;/&gt;&lt;wsp:rsid wsp:val=&quot;00AB1275&quot;/&gt;&lt;wsp:rsid wsp:val=&quot;00AB2217&quot;/&gt;&lt;wsp:rsid wsp:val=&quot;00AB2337&quot;/&gt;&lt;wsp:rsid wsp:val=&quot;00AB2B1F&quot;/&gt;&lt;wsp:rsid wsp:val=&quot;00AB3EB9&quot;/&gt;&lt;wsp:rsid wsp:val=&quot;00AB4299&quot;/&gt;&lt;wsp:rsid wsp:val=&quot;00AB43EC&quot;/&gt;&lt;wsp:rsid wsp:val=&quot;00AB49FE&quot;/&gt;&lt;wsp:rsid wsp:val=&quot;00AB4DE4&quot;/&gt;&lt;wsp:rsid wsp:val=&quot;00AB59C9&quot;/&gt;&lt;wsp:rsid wsp:val=&quot;00AB66FE&quot;/&gt;&lt;wsp:rsid wsp:val=&quot;00AB6805&quot;/&gt;&lt;wsp:rsid wsp:val=&quot;00AB6D9B&quot;/&gt;&lt;wsp:rsid wsp:val=&quot;00AB6FA9&quot;/&gt;&lt;wsp:rsid wsp:val=&quot;00AB74C2&quot;/&gt;&lt;wsp:rsid wsp:val=&quot;00AC005D&quot;/&gt;&lt;wsp:rsid wsp:val=&quot;00AC0A9D&quot;/&gt;&lt;wsp:rsid wsp:val=&quot;00AC1571&quot;/&gt;&lt;wsp:rsid wsp:val=&quot;00AC1A26&quot;/&gt;&lt;wsp:rsid wsp:val=&quot;00AC1FD4&quot;/&gt;&lt;wsp:rsid wsp:val=&quot;00AC2175&quot;/&gt;&lt;wsp:rsid wsp:val=&quot;00AC36EB&quot;/&gt;&lt;wsp:rsid wsp:val=&quot;00AC38C2&quot;/&gt;&lt;wsp:rsid wsp:val=&quot;00AC3EC7&quot;/&gt;&lt;wsp:rsid wsp:val=&quot;00AC48A3&quot;/&gt;&lt;wsp:rsid wsp:val=&quot;00AC4B1E&quot;/&gt;&lt;wsp:rsid wsp:val=&quot;00AC5067&quot;/&gt;&lt;wsp:rsid wsp:val=&quot;00AC5331&quot;/&gt;&lt;wsp:rsid wsp:val=&quot;00AC5738&quot;/&gt;&lt;wsp:rsid wsp:val=&quot;00AC6328&quot;/&gt;&lt;wsp:rsid wsp:val=&quot;00AC6879&quot;/&gt;&lt;wsp:rsid wsp:val=&quot;00AC69E1&quot;/&gt;&lt;wsp:rsid wsp:val=&quot;00AC783A&quot;/&gt;&lt;wsp:rsid wsp:val=&quot;00AD17DB&quot;/&gt;&lt;wsp:rsid wsp:val=&quot;00AD3262&quot;/&gt;&lt;wsp:rsid wsp:val=&quot;00AD3439&quot;/&gt;&lt;wsp:rsid wsp:val=&quot;00AD3667&quot;/&gt;&lt;wsp:rsid wsp:val=&quot;00AD46EF&quot;/&gt;&lt;wsp:rsid wsp:val=&quot;00AD4B5C&quot;/&gt;&lt;wsp:rsid wsp:val=&quot;00AD5857&quot;/&gt;&lt;wsp:rsid wsp:val=&quot;00AD5894&quot;/&gt;&lt;wsp:rsid wsp:val=&quot;00AD59F4&quot;/&gt;&lt;wsp:rsid wsp:val=&quot;00AD5CFB&quot;/&gt;&lt;wsp:rsid wsp:val=&quot;00AD616B&quot;/&gt;&lt;wsp:rsid wsp:val=&quot;00AD669D&quot;/&gt;&lt;wsp:rsid wsp:val=&quot;00AD6C41&quot;/&gt;&lt;wsp:rsid wsp:val=&quot;00AD6F91&quot;/&gt;&lt;wsp:rsid wsp:val=&quot;00AD75C7&quot;/&gt;&lt;wsp:rsid wsp:val=&quot;00AD78AF&quot;/&gt;&lt;wsp:rsid wsp:val=&quot;00AE1B84&quot;/&gt;&lt;wsp:rsid wsp:val=&quot;00AE1C74&quot;/&gt;&lt;wsp:rsid wsp:val=&quot;00AE1E1C&quot;/&gt;&lt;wsp:rsid wsp:val=&quot;00AE268F&quot;/&gt;&lt;wsp:rsid wsp:val=&quot;00AE28E1&quot;/&gt;&lt;wsp:rsid wsp:val=&quot;00AE3366&quot;/&gt;&lt;wsp:rsid wsp:val=&quot;00AE5D93&quot;/&gt;&lt;wsp:rsid wsp:val=&quot;00AE64D3&quot;/&gt;&lt;wsp:rsid wsp:val=&quot;00AF297C&quot;/&gt;&lt;wsp:rsid wsp:val=&quot;00AF4213&quot;/&gt;&lt;wsp:rsid wsp:val=&quot;00AF443F&quot;/&gt;&lt;wsp:rsid wsp:val=&quot;00AF4496&quot;/&gt;&lt;wsp:rsid wsp:val=&quot;00AF4C78&quot;/&gt;&lt;wsp:rsid wsp:val=&quot;00AF5058&quot;/&gt;&lt;wsp:rsid wsp:val=&quot;00AF5359&quot;/&gt;&lt;wsp:rsid wsp:val=&quot;00AF5C9E&quot;/&gt;&lt;wsp:rsid wsp:val=&quot;00AF5F37&quot;/&gt;&lt;wsp:rsid wsp:val=&quot;00AF747A&quot;/&gt;&lt;wsp:rsid wsp:val=&quot;00AF7B58&quot;/&gt;&lt;wsp:rsid wsp:val=&quot;00B0085A&quot;/&gt;&lt;wsp:rsid wsp:val=&quot;00B0212E&quot;/&gt;&lt;wsp:rsid wsp:val=&quot;00B02574&quot;/&gt;&lt;wsp:rsid wsp:val=&quot;00B03308&quot;/&gt;&lt;wsp:rsid wsp:val=&quot;00B046CE&quot;/&gt;&lt;wsp:rsid wsp:val=&quot;00B047AC&quot;/&gt;&lt;wsp:rsid wsp:val=&quot;00B05FCB&quot;/&gt;&lt;wsp:rsid wsp:val=&quot;00B06873&quot;/&gt;&lt;wsp:rsid wsp:val=&quot;00B06D10&quot;/&gt;&lt;wsp:rsid wsp:val=&quot;00B07220&quot;/&gt;&lt;wsp:rsid wsp:val=&quot;00B074C6&quot;/&gt;&lt;wsp:rsid wsp:val=&quot;00B07EE7&quot;/&gt;&lt;wsp:rsid wsp:val=&quot;00B108C8&quot;/&gt;&lt;wsp:rsid wsp:val=&quot;00B10B6F&quot;/&gt;&lt;wsp:rsid wsp:val=&quot;00B113A2&quot;/&gt;&lt;wsp:rsid wsp:val=&quot;00B1185B&quot;/&gt;&lt;wsp:rsid wsp:val=&quot;00B11870&quot;/&gt;&lt;wsp:rsid wsp:val=&quot;00B12C58&quot;/&gt;&lt;wsp:rsid wsp:val=&quot;00B131F2&quot;/&gt;&lt;wsp:rsid wsp:val=&quot;00B1384B&quot;/&gt;&lt;wsp:rsid wsp:val=&quot;00B13E73&quot;/&gt;&lt;wsp:rsid wsp:val=&quot;00B141E0&quot;/&gt;&lt;wsp:rsid wsp:val=&quot;00B149D4&quot;/&gt;&lt;wsp:rsid wsp:val=&quot;00B16277&quot;/&gt;&lt;wsp:rsid wsp:val=&quot;00B162AD&quot;/&gt;&lt;wsp:rsid wsp:val=&quot;00B1671D&quot;/&gt;&lt;wsp:rsid wsp:val=&quot;00B16733&quot;/&gt;&lt;wsp:rsid wsp:val=&quot;00B16B08&quot;/&gt;&lt;wsp:rsid wsp:val=&quot;00B16F75&quot;/&gt;&lt;wsp:rsid wsp:val=&quot;00B16FBE&quot;/&gt;&lt;wsp:rsid wsp:val=&quot;00B17ABC&quot;/&gt;&lt;wsp:rsid wsp:val=&quot;00B20020&quot;/&gt;&lt;wsp:rsid wsp:val=&quot;00B2089F&quot;/&gt;&lt;wsp:rsid wsp:val=&quot;00B20974&quot;/&gt;&lt;wsp:rsid wsp:val=&quot;00B20DA2&quot;/&gt;&lt;wsp:rsid wsp:val=&quot;00B21002&quot;/&gt;&lt;wsp:rsid wsp:val=&quot;00B21950&quot;/&gt;&lt;wsp:rsid wsp:val=&quot;00B21973&quot;/&gt;&lt;wsp:rsid wsp:val=&quot;00B2242C&quot;/&gt;&lt;wsp:rsid wsp:val=&quot;00B22909&quot;/&gt;&lt;wsp:rsid wsp:val=&quot;00B22A56&quot;/&gt;&lt;wsp:rsid wsp:val=&quot;00B2324A&quot;/&gt;&lt;wsp:rsid wsp:val=&quot;00B239DC&quot;/&gt;&lt;wsp:rsid wsp:val=&quot;00B24835&quot;/&gt;&lt;wsp:rsid wsp:val=&quot;00B24B1B&quot;/&gt;&lt;wsp:rsid wsp:val=&quot;00B24BB6&quot;/&gt;&lt;wsp:rsid wsp:val=&quot;00B25770&quot;/&gt;&lt;wsp:rsid wsp:val=&quot;00B25F95&quot;/&gt;&lt;wsp:rsid wsp:val=&quot;00B2651B&quot;/&gt;&lt;wsp:rsid wsp:val=&quot;00B27359&quot;/&gt;&lt;wsp:rsid wsp:val=&quot;00B27AFA&quot;/&gt;&lt;wsp:rsid wsp:val=&quot;00B30CBC&quot;/&gt;&lt;wsp:rsid wsp:val=&quot;00B31E96&quot;/&gt;&lt;wsp:rsid wsp:val=&quot;00B324C4&quot;/&gt;&lt;wsp:rsid wsp:val=&quot;00B327B9&quot;/&gt;&lt;wsp:rsid wsp:val=&quot;00B32F28&quot;/&gt;&lt;wsp:rsid wsp:val=&quot;00B3306D&quot;/&gt;&lt;wsp:rsid wsp:val=&quot;00B33566&quot;/&gt;&lt;wsp:rsid wsp:val=&quot;00B341D8&quot;/&gt;&lt;wsp:rsid wsp:val=&quot;00B34417&quot;/&gt;&lt;wsp:rsid wsp:val=&quot;00B345CA&quot;/&gt;&lt;wsp:rsid wsp:val=&quot;00B34638&quot;/&gt;&lt;wsp:rsid wsp:val=&quot;00B346C5&quot;/&gt;&lt;wsp:rsid wsp:val=&quot;00B3470E&quot;/&gt;&lt;wsp:rsid wsp:val=&quot;00B35878&quot;/&gt;&lt;wsp:rsid wsp:val=&quot;00B369F0&quot;/&gt;&lt;wsp:rsid wsp:val=&quot;00B37BB4&quot;/&gt;&lt;wsp:rsid wsp:val=&quot;00B37D54&quot;/&gt;&lt;wsp:rsid wsp:val=&quot;00B40366&quot;/&gt;&lt;wsp:rsid wsp:val=&quot;00B40724&quot;/&gt;&lt;wsp:rsid wsp:val=&quot;00B41E7F&quot;/&gt;&lt;wsp:rsid wsp:val=&quot;00B42216&quot;/&gt;&lt;wsp:rsid wsp:val=&quot;00B43DB6&quot;/&gt;&lt;wsp:rsid wsp:val=&quot;00B4413F&quot;/&gt;&lt;wsp:rsid wsp:val=&quot;00B4415F&quot;/&gt;&lt;wsp:rsid wsp:val=&quot;00B44612&quot;/&gt;&lt;wsp:rsid wsp:val=&quot;00B446D3&quot;/&gt;&lt;wsp:rsid wsp:val=&quot;00B45233&quot;/&gt;&lt;wsp:rsid wsp:val=&quot;00B45F57&quot;/&gt;&lt;wsp:rsid wsp:val=&quot;00B46FB0&quot;/&gt;&lt;wsp:rsid wsp:val=&quot;00B471EA&quot;/&gt;&lt;wsp:rsid wsp:val=&quot;00B477EF&quot;/&gt;&lt;wsp:rsid wsp:val=&quot;00B47E3C&quot;/&gt;&lt;wsp:rsid wsp:val=&quot;00B502C8&quot;/&gt;&lt;wsp:rsid wsp:val=&quot;00B5042B&quot;/&gt;&lt;wsp:rsid wsp:val=&quot;00B50591&quot;/&gt;&lt;wsp:rsid wsp:val=&quot;00B5077D&quot;/&gt;&lt;wsp:rsid wsp:val=&quot;00B51B82&quot;/&gt;&lt;wsp:rsid wsp:val=&quot;00B51B9A&quot;/&gt;&lt;wsp:rsid wsp:val=&quot;00B51D8F&quot;/&gt;&lt;wsp:rsid wsp:val=&quot;00B52643&quot;/&gt;&lt;wsp:rsid wsp:val=&quot;00B537AA&quot;/&gt;&lt;wsp:rsid wsp:val=&quot;00B53BE5&quot;/&gt;&lt;wsp:rsid wsp:val=&quot;00B55535&quot;/&gt;&lt;wsp:rsid wsp:val=&quot;00B55D77&quot;/&gt;&lt;wsp:rsid wsp:val=&quot;00B5612B&quot;/&gt;&lt;wsp:rsid wsp:val=&quot;00B56838&quot;/&gt;&lt;wsp:rsid wsp:val=&quot;00B57463&quot;/&gt;&lt;wsp:rsid wsp:val=&quot;00B574D9&quot;/&gt;&lt;wsp:rsid wsp:val=&quot;00B60872&quot;/&gt;&lt;wsp:rsid wsp:val=&quot;00B60996&quot;/&gt;&lt;wsp:rsid wsp:val=&quot;00B612A1&quot;/&gt;&lt;wsp:rsid wsp:val=&quot;00B62C01&quot;/&gt;&lt;wsp:rsid wsp:val=&quot;00B63609&quot;/&gt;&lt;wsp:rsid wsp:val=&quot;00B642CF&quot;/&gt;&lt;wsp:rsid wsp:val=&quot;00B65844&quot;/&gt;&lt;wsp:rsid wsp:val=&quot;00B65B9C&quot;/&gt;&lt;wsp:rsid wsp:val=&quot;00B6707C&quot;/&gt;&lt;wsp:rsid wsp:val=&quot;00B67791&quot;/&gt;&lt;wsp:rsid wsp:val=&quot;00B67A73&quot;/&gt;&lt;wsp:rsid wsp:val=&quot;00B706FA&quot;/&gt;&lt;wsp:rsid wsp:val=&quot;00B70CD5&quot;/&gt;&lt;wsp:rsid wsp:val=&quot;00B71AEC&quot;/&gt;&lt;wsp:rsid wsp:val=&quot;00B71F71&quot;/&gt;&lt;wsp:rsid wsp:val=&quot;00B721F8&quot;/&gt;&lt;wsp:rsid wsp:val=&quot;00B722FC&quot;/&gt;&lt;wsp:rsid wsp:val=&quot;00B72517&quot;/&gt;&lt;wsp:rsid wsp:val=&quot;00B72591&quot;/&gt;&lt;wsp:rsid wsp:val=&quot;00B72761&quot;/&gt;&lt;wsp:rsid wsp:val=&quot;00B73B05&quot;/&gt;&lt;wsp:rsid wsp:val=&quot;00B74008&quot;/&gt;&lt;wsp:rsid wsp:val=&quot;00B740FA&quot;/&gt;&lt;wsp:rsid wsp:val=&quot;00B74E34&quot;/&gt;&lt;wsp:rsid wsp:val=&quot;00B754E7&quot;/&gt;&lt;wsp:rsid wsp:val=&quot;00B76A4D&quot;/&gt;&lt;wsp:rsid wsp:val=&quot;00B77574&quot;/&gt;&lt;wsp:rsid wsp:val=&quot;00B775F1&quot;/&gt;&lt;wsp:rsid wsp:val=&quot;00B77F9A&quot;/&gt;&lt;wsp:rsid wsp:val=&quot;00B80000&quot;/&gt;&lt;wsp:rsid wsp:val=&quot;00B802CD&quot;/&gt;&lt;wsp:rsid wsp:val=&quot;00B803CA&quot;/&gt;&lt;wsp:rsid wsp:val=&quot;00B814CD&quot;/&gt;&lt;wsp:rsid wsp:val=&quot;00B81E3D&quot;/&gt;&lt;wsp:rsid wsp:val=&quot;00B836C7&quot;/&gt;&lt;wsp:rsid wsp:val=&quot;00B8381B&quot;/&gt;&lt;wsp:rsid wsp:val=&quot;00B83A63&quot;/&gt;&lt;wsp:rsid wsp:val=&quot;00B83D1B&quot;/&gt;&lt;wsp:rsid wsp:val=&quot;00B83F03&quot;/&gt;&lt;wsp:rsid wsp:val=&quot;00B84439&quot;/&gt;&lt;wsp:rsid wsp:val=&quot;00B84E8E&quot;/&gt;&lt;wsp:rsid wsp:val=&quot;00B85E72&quot;/&gt;&lt;wsp:rsid wsp:val=&quot;00B85EC0&quot;/&gt;&lt;wsp:rsid wsp:val=&quot;00B861F5&quot;/&gt;&lt;wsp:rsid wsp:val=&quot;00B8689A&quot;/&gt;&lt;wsp:rsid wsp:val=&quot;00B86E55&quot;/&gt;&lt;wsp:rsid wsp:val=&quot;00B87DF0&quot;/&gt;&lt;wsp:rsid wsp:val=&quot;00B901F8&quot;/&gt;&lt;wsp:rsid wsp:val=&quot;00B92167&quot;/&gt;&lt;wsp:rsid wsp:val=&quot;00B92346&quot;/&gt;&lt;wsp:rsid wsp:val=&quot;00B92687&quot;/&gt;&lt;wsp:rsid wsp:val=&quot;00B92E71&quot;/&gt;&lt;wsp:rsid wsp:val=&quot;00B92F12&quot;/&gt;&lt;wsp:rsid wsp:val=&quot;00B93235&quot;/&gt;&lt;wsp:rsid wsp:val=&quot;00B936E0&quot;/&gt;&lt;wsp:rsid wsp:val=&quot;00B94C7B&quot;/&gt;&lt;wsp:rsid wsp:val=&quot;00B952B1&quot;/&gt;&lt;wsp:rsid wsp:val=&quot;00B95442&quot;/&gt;&lt;wsp:rsid wsp:val=&quot;00B95BA5&quot;/&gt;&lt;wsp:rsid wsp:val=&quot;00B95EB1&quot;/&gt;&lt;wsp:rsid wsp:val=&quot;00B9619A&quot;/&gt;&lt;wsp:rsid wsp:val=&quot;00B968B3&quot;/&gt;&lt;wsp:rsid wsp:val=&quot;00B972C9&quot;/&gt;&lt;wsp:rsid wsp:val=&quot;00B973E1&quot;/&gt;&lt;wsp:rsid wsp:val=&quot;00B97F52&quot;/&gt;&lt;wsp:rsid wsp:val=&quot;00BA0F53&quot;/&gt;&lt;wsp:rsid wsp:val=&quot;00BA14CD&quot;/&gt;&lt;wsp:rsid wsp:val=&quot;00BA212B&quot;/&gt;&lt;wsp:rsid wsp:val=&quot;00BA2638&quot;/&gt;&lt;wsp:rsid wsp:val=&quot;00BA27D5&quot;/&gt;&lt;wsp:rsid wsp:val=&quot;00BA404E&quot;/&gt;&lt;wsp:rsid wsp:val=&quot;00BA42FE&quot;/&gt;&lt;wsp:rsid wsp:val=&quot;00BA4A13&quot;/&gt;&lt;wsp:rsid wsp:val=&quot;00BA4E4B&quot;/&gt;&lt;wsp:rsid wsp:val=&quot;00BA4FFF&quot;/&gt;&lt;wsp:rsid wsp:val=&quot;00BA55DF&quot;/&gt;&lt;wsp:rsid wsp:val=&quot;00BA5AB6&quot;/&gt;&lt;wsp:rsid wsp:val=&quot;00BA5DA8&quot;/&gt;&lt;wsp:rsid wsp:val=&quot;00BA61DE&quot;/&gt;&lt;wsp:rsid wsp:val=&quot;00BA7B69&quot;/&gt;&lt;wsp:rsid wsp:val=&quot;00BB0427&quot;/&gt;&lt;wsp:rsid wsp:val=&quot;00BB0C29&quot;/&gt;&lt;wsp:rsid wsp:val=&quot;00BB20B5&quot;/&gt;&lt;wsp:rsid wsp:val=&quot;00BB2951&quot;/&gt;&lt;wsp:rsid wsp:val=&quot;00BB2DF2&quot;/&gt;&lt;wsp:rsid wsp:val=&quot;00BB33BF&quot;/&gt;&lt;wsp:rsid wsp:val=&quot;00BB3522&quot;/&gt;&lt;wsp:rsid wsp:val=&quot;00BB360C&quot;/&gt;&lt;wsp:rsid wsp:val=&quot;00BB4239&quot;/&gt;&lt;wsp:rsid wsp:val=&quot;00BB429E&quot;/&gt;&lt;wsp:rsid wsp:val=&quot;00BB53D1&quot;/&gt;&lt;wsp:rsid wsp:val=&quot;00BB634A&quot;/&gt;&lt;wsp:rsid wsp:val=&quot;00BB6E5D&quot;/&gt;&lt;wsp:rsid wsp:val=&quot;00BB707A&quot;/&gt;&lt;wsp:rsid wsp:val=&quot;00BB730E&quot;/&gt;&lt;wsp:rsid wsp:val=&quot;00BB7BE5&quot;/&gt;&lt;wsp:rsid wsp:val=&quot;00BC0011&quot;/&gt;&lt;wsp:rsid wsp:val=&quot;00BC0751&quot;/&gt;&lt;wsp:rsid wsp:val=&quot;00BC0F40&quot;/&gt;&lt;wsp:rsid wsp:val=&quot;00BC10FE&quot;/&gt;&lt;wsp:rsid wsp:val=&quot;00BC17EF&quot;/&gt;&lt;wsp:rsid wsp:val=&quot;00BC2912&quot;/&gt;&lt;wsp:rsid wsp:val=&quot;00BC2A75&quot;/&gt;&lt;wsp:rsid wsp:val=&quot;00BC32C2&quot;/&gt;&lt;wsp:rsid wsp:val=&quot;00BC37DB&quot;/&gt;&lt;wsp:rsid wsp:val=&quot;00BC42BF&quot;/&gt;&lt;wsp:rsid wsp:val=&quot;00BC45CA&quot;/&gt;&lt;wsp:rsid wsp:val=&quot;00BC476E&quot;/&gt;&lt;wsp:rsid wsp:val=&quot;00BC493D&quot;/&gt;&lt;wsp:rsid wsp:val=&quot;00BC5506&quot;/&gt;&lt;wsp:rsid wsp:val=&quot;00BC5C18&quot;/&gt;&lt;wsp:rsid wsp:val=&quot;00BC61DB&quot;/&gt;&lt;wsp:rsid wsp:val=&quot;00BC68E6&quot;/&gt;&lt;wsp:rsid wsp:val=&quot;00BC6958&quot;/&gt;&lt;wsp:rsid wsp:val=&quot;00BC6B84&quot;/&gt;&lt;wsp:rsid wsp:val=&quot;00BD0CD1&quot;/&gt;&lt;wsp:rsid wsp:val=&quot;00BD198F&quot;/&gt;&lt;wsp:rsid wsp:val=&quot;00BD2340&quot;/&gt;&lt;wsp:rsid wsp:val=&quot;00BD2872&quot;/&gt;&lt;wsp:rsid wsp:val=&quot;00BD2C58&quot;/&gt;&lt;wsp:rsid wsp:val=&quot;00BD2D77&quot;/&gt;&lt;wsp:rsid wsp:val=&quot;00BD2E1C&quot;/&gt;&lt;wsp:rsid wsp:val=&quot;00BD416E&quot;/&gt;&lt;wsp:rsid wsp:val=&quot;00BD46F7&quot;/&gt;&lt;wsp:rsid wsp:val=&quot;00BD5D2D&quot;/&gt;&lt;wsp:rsid wsp:val=&quot;00BD74D8&quot;/&gt;&lt;wsp:rsid wsp:val=&quot;00BD794D&quot;/&gt;&lt;wsp:rsid wsp:val=&quot;00BD7C04&quot;/&gt;&lt;wsp:rsid wsp:val=&quot;00BE04DE&quot;/&gt;&lt;wsp:rsid wsp:val=&quot;00BE1124&quot;/&gt;&lt;wsp:rsid wsp:val=&quot;00BE12EB&quot;/&gt;&lt;wsp:rsid wsp:val=&quot;00BE2E31&quot;/&gt;&lt;wsp:rsid wsp:val=&quot;00BE2EA7&quot;/&gt;&lt;wsp:rsid wsp:val=&quot;00BE46E8&quot;/&gt;&lt;wsp:rsid wsp:val=&quot;00BE49C3&quot;/&gt;&lt;wsp:rsid wsp:val=&quot;00BE49DD&quot;/&gt;&lt;wsp:rsid wsp:val=&quot;00BE62A1&quot;/&gt;&lt;wsp:rsid wsp:val=&quot;00BE69D4&quot;/&gt;&lt;wsp:rsid wsp:val=&quot;00BE7091&quot;/&gt;&lt;wsp:rsid wsp:val=&quot;00BE715A&quot;/&gt;&lt;wsp:rsid wsp:val=&quot;00BE734D&quot;/&gt;&lt;wsp:rsid wsp:val=&quot;00BE74CD&quot;/&gt;&lt;wsp:rsid wsp:val=&quot;00BE7AC4&quot;/&gt;&lt;wsp:rsid wsp:val=&quot;00BE7F99&quot;/&gt;&lt;wsp:rsid wsp:val=&quot;00BF00B7&quot;/&gt;&lt;wsp:rsid wsp:val=&quot;00BF0552&quot;/&gt;&lt;wsp:rsid wsp:val=&quot;00BF0BB1&quot;/&gt;&lt;wsp:rsid wsp:val=&quot;00BF0D32&quot;/&gt;&lt;wsp:rsid wsp:val=&quot;00BF146D&quot;/&gt;&lt;wsp:rsid wsp:val=&quot;00BF2F7C&quot;/&gt;&lt;wsp:rsid wsp:val=&quot;00BF36E2&quot;/&gt;&lt;wsp:rsid wsp:val=&quot;00BF3ED3&quot;/&gt;&lt;wsp:rsid wsp:val=&quot;00BF48A6&quot;/&gt;&lt;wsp:rsid wsp:val=&quot;00BF48CB&quot;/&gt;&lt;wsp:rsid wsp:val=&quot;00BF4B4C&quot;/&gt;&lt;wsp:rsid wsp:val=&quot;00BF5410&quot;/&gt;&lt;wsp:rsid wsp:val=&quot;00BF5521&quot;/&gt;&lt;wsp:rsid wsp:val=&quot;00BF5A0E&quot;/&gt;&lt;wsp:rsid wsp:val=&quot;00C01152&quot;/&gt;&lt;wsp:rsid wsp:val=&quot;00C02345&quot;/&gt;&lt;wsp:rsid wsp:val=&quot;00C0277C&quot;/&gt;&lt;wsp:rsid wsp:val=&quot;00C03747&quot;/&gt;&lt;wsp:rsid wsp:val=&quot;00C03F96&quot;/&gt;&lt;wsp:rsid wsp:val=&quot;00C0471F&quot;/&gt;&lt;wsp:rsid wsp:val=&quot;00C04D10&quot;/&gt;&lt;wsp:rsid wsp:val=&quot;00C04F48&quot;/&gt;&lt;wsp:rsid wsp:val=&quot;00C06E68&quot;/&gt;&lt;wsp:rsid wsp:val=&quot;00C079BA&quot;/&gt;&lt;wsp:rsid wsp:val=&quot;00C07D0A&quot;/&gt;&lt;wsp:rsid wsp:val=&quot;00C07D3A&quot;/&gt;&lt;wsp:rsid wsp:val=&quot;00C11E51&quot;/&gt;&lt;wsp:rsid wsp:val=&quot;00C12F87&quot;/&gt;&lt;wsp:rsid wsp:val=&quot;00C12FF1&quot;/&gt;&lt;wsp:rsid wsp:val=&quot;00C150FE&quot;/&gt;&lt;wsp:rsid wsp:val=&quot;00C156C0&quot;/&gt;&lt;wsp:rsid wsp:val=&quot;00C15C4E&quot;/&gt;&lt;wsp:rsid wsp:val=&quot;00C17741&quot;/&gt;&lt;wsp:rsid wsp:val=&quot;00C17BA6&quot;/&gt;&lt;wsp:rsid wsp:val=&quot;00C2097D&quot;/&gt;&lt;wsp:rsid wsp:val=&quot;00C21368&quot;/&gt;&lt;wsp:rsid wsp:val=&quot;00C21498&quot;/&gt;&lt;wsp:rsid wsp:val=&quot;00C21EC4&quot;/&gt;&lt;wsp:rsid wsp:val=&quot;00C21EDD&quot;/&gt;&lt;wsp:rsid wsp:val=&quot;00C22317&quot;/&gt;&lt;wsp:rsid wsp:val=&quot;00C22881&quot;/&gt;&lt;wsp:rsid wsp:val=&quot;00C22BB5&quot;/&gt;&lt;wsp:rsid wsp:val=&quot;00C2481F&quot;/&gt;&lt;wsp:rsid wsp:val=&quot;00C25715&quot;/&gt;&lt;wsp:rsid wsp:val=&quot;00C26027&quot;/&gt;&lt;wsp:rsid wsp:val=&quot;00C270ED&quot;/&gt;&lt;wsp:rsid wsp:val=&quot;00C277BA&quot;/&gt;&lt;wsp:rsid wsp:val=&quot;00C30056&quot;/&gt;&lt;wsp:rsid wsp:val=&quot;00C308C0&quot;/&gt;&lt;wsp:rsid wsp:val=&quot;00C30CF4&quot;/&gt;&lt;wsp:rsid wsp:val=&quot;00C31A5A&quot;/&gt;&lt;wsp:rsid wsp:val=&quot;00C31AC0&quot;/&gt;&lt;wsp:rsid wsp:val=&quot;00C32913&quot;/&gt;&lt;wsp:rsid wsp:val=&quot;00C33744&quot;/&gt;&lt;wsp:rsid wsp:val=&quot;00C342C7&quot;/&gt;&lt;wsp:rsid wsp:val=&quot;00C34989&quot;/&gt;&lt;wsp:rsid wsp:val=&quot;00C35362&quot;/&gt;&lt;wsp:rsid wsp:val=&quot;00C35C11&quot;/&gt;&lt;wsp:rsid wsp:val=&quot;00C35D8B&quot;/&gt;&lt;wsp:rsid wsp:val=&quot;00C35DD7&quot;/&gt;&lt;wsp:rsid wsp:val=&quot;00C36028&quot;/&gt;&lt;wsp:rsid wsp:val=&quot;00C36449&quot;/&gt;&lt;wsp:rsid wsp:val=&quot;00C370C5&quot;/&gt;&lt;wsp:rsid wsp:val=&quot;00C379AA&quot;/&gt;&lt;wsp:rsid wsp:val=&quot;00C37DDF&quot;/&gt;&lt;wsp:rsid wsp:val=&quot;00C40ACA&quot;/&gt;&lt;wsp:rsid wsp:val=&quot;00C40D11&quot;/&gt;&lt;wsp:rsid wsp:val=&quot;00C40FC8&quot;/&gt;&lt;wsp:rsid wsp:val=&quot;00C4196D&quot;/&gt;&lt;wsp:rsid wsp:val=&quot;00C41CBC&quot;/&gt;&lt;wsp:rsid wsp:val=&quot;00C43F59&quot;/&gt;&lt;wsp:rsid wsp:val=&quot;00C43FC7&quot;/&gt;&lt;wsp:rsid wsp:val=&quot;00C44362&quot;/&gt;&lt;wsp:rsid wsp:val=&quot;00C45134&quot;/&gt;&lt;wsp:rsid wsp:val=&quot;00C45CBC&quot;/&gt;&lt;wsp:rsid wsp:val=&quot;00C46052&quot;/&gt;&lt;wsp:rsid wsp:val=&quot;00C461E6&quot;/&gt;&lt;wsp:rsid wsp:val=&quot;00C46BCD&quot;/&gt;&lt;wsp:rsid wsp:val=&quot;00C47C4A&quot;/&gt;&lt;wsp:rsid wsp:val=&quot;00C5039E&quot;/&gt;&lt;wsp:rsid wsp:val=&quot;00C52896&quot;/&gt;&lt;wsp:rsid wsp:val=&quot;00C52FEA&quot;/&gt;&lt;wsp:rsid wsp:val=&quot;00C538D5&quot;/&gt;&lt;wsp:rsid wsp:val=&quot;00C53E51&quot;/&gt;&lt;wsp:rsid wsp:val=&quot;00C5404E&quot;/&gt;&lt;wsp:rsid wsp:val=&quot;00C54F13&quot;/&gt;&lt;wsp:rsid wsp:val=&quot;00C54FA4&quot;/&gt;&lt;wsp:rsid wsp:val=&quot;00C55FCE&quot;/&gt;&lt;wsp:rsid wsp:val=&quot;00C5620E&quot;/&gt;&lt;wsp:rsid wsp:val=&quot;00C56245&quot;/&gt;&lt;wsp:rsid wsp:val=&quot;00C5630B&quot;/&gt;&lt;wsp:rsid wsp:val=&quot;00C564B1&quot;/&gt;&lt;wsp:rsid wsp:val=&quot;00C567BB&quot;/&gt;&lt;wsp:rsid wsp:val=&quot;00C57513&quot;/&gt;&lt;wsp:rsid wsp:val=&quot;00C57CA0&quot;/&gt;&lt;wsp:rsid wsp:val=&quot;00C60EE8&quot;/&gt;&lt;wsp:rsid wsp:val=&quot;00C61792&quot;/&gt;&lt;wsp:rsid wsp:val=&quot;00C61DF9&quot;/&gt;&lt;wsp:rsid wsp:val=&quot;00C61FD8&quot;/&gt;&lt;wsp:rsid wsp:val=&quot;00C62A64&quot;/&gt;&lt;wsp:rsid wsp:val=&quot;00C62F70&quot;/&gt;&lt;wsp:rsid wsp:val=&quot;00C6300E&quot;/&gt;&lt;wsp:rsid wsp:val=&quot;00C63633&quot;/&gt;&lt;wsp:rsid wsp:val=&quot;00C63BC5&quot;/&gt;&lt;wsp:rsid wsp:val=&quot;00C63BCA&quot;/&gt;&lt;wsp:rsid wsp:val=&quot;00C64A0D&quot;/&gt;&lt;wsp:rsid wsp:val=&quot;00C65027&quot;/&gt;&lt;wsp:rsid wsp:val=&quot;00C657DF&quot;/&gt;&lt;wsp:rsid wsp:val=&quot;00C65869&quot;/&gt;&lt;wsp:rsid wsp:val=&quot;00C665EE&quot;/&gt;&lt;wsp:rsid wsp:val=&quot;00C6731E&quot;/&gt;&lt;wsp:rsid wsp:val=&quot;00C700AF&quot;/&gt;&lt;wsp:rsid wsp:val=&quot;00C71A0A&quot;/&gt;&lt;wsp:rsid wsp:val=&quot;00C724F8&quot;/&gt;&lt;wsp:rsid wsp:val=&quot;00C7297F&quot;/&gt;&lt;wsp:rsid wsp:val=&quot;00C73000&quot;/&gt;&lt;wsp:rsid wsp:val=&quot;00C74CC5&quot;/&gt;&lt;wsp:rsid wsp:val=&quot;00C74CD8&quot;/&gt;&lt;wsp:rsid wsp:val=&quot;00C7510F&quot;/&gt;&lt;wsp:rsid wsp:val=&quot;00C75689&quot;/&gt;&lt;wsp:rsid wsp:val=&quot;00C77639&quot;/&gt;&lt;wsp:rsid wsp:val=&quot;00C77B1E&quot;/&gt;&lt;wsp:rsid wsp:val=&quot;00C77D27&quot;/&gt;&lt;wsp:rsid wsp:val=&quot;00C8006B&quot;/&gt;&lt;wsp:rsid wsp:val=&quot;00C812C0&quot;/&gt;&lt;wsp:rsid wsp:val=&quot;00C81E94&quot;/&gt;&lt;wsp:rsid wsp:val=&quot;00C81F73&quot;/&gt;&lt;wsp:rsid wsp:val=&quot;00C81FD8&quot;/&gt;&lt;wsp:rsid wsp:val=&quot;00C8214A&quot;/&gt;&lt;wsp:rsid wsp:val=&quot;00C82F7C&quot;/&gt;&lt;wsp:rsid wsp:val=&quot;00C82FB4&quot;/&gt;&lt;wsp:rsid wsp:val=&quot;00C833F3&quot;/&gt;&lt;wsp:rsid wsp:val=&quot;00C837CF&quot;/&gt;&lt;wsp:rsid wsp:val=&quot;00C85412&quot;/&gt;&lt;wsp:rsid wsp:val=&quot;00C857BC&quot;/&gt;&lt;wsp:rsid wsp:val=&quot;00C85AE7&quot;/&gt;&lt;wsp:rsid wsp:val=&quot;00C86CC3&quot;/&gt;&lt;wsp:rsid wsp:val=&quot;00C87A88&quot;/&gt;&lt;wsp:rsid wsp:val=&quot;00C87F7C&quot;/&gt;&lt;wsp:rsid wsp:val=&quot;00C901C6&quot;/&gt;&lt;wsp:rsid wsp:val=&quot;00C9043E&quot;/&gt;&lt;wsp:rsid wsp:val=&quot;00C90738&quot;/&gt;&lt;wsp:rsid wsp:val=&quot;00C90A66&quot;/&gt;&lt;wsp:rsid wsp:val=&quot;00C92314&quot;/&gt;&lt;wsp:rsid wsp:val=&quot;00C92C8D&quot;/&gt;&lt;wsp:rsid wsp:val=&quot;00C92EE5&quot;/&gt;&lt;wsp:rsid wsp:val=&quot;00C93F3C&quot;/&gt;&lt;wsp:rsid wsp:val=&quot;00C94BBF&quot;/&gt;&lt;wsp:rsid wsp:val=&quot;00C9590D&quot;/&gt;&lt;wsp:rsid wsp:val=&quot;00C96622&quot;/&gt;&lt;wsp:rsid wsp:val=&quot;00CA122F&quot;/&gt;&lt;wsp:rsid wsp:val=&quot;00CA1C29&quot;/&gt;&lt;wsp:rsid wsp:val=&quot;00CA1C4D&quot;/&gt;&lt;wsp:rsid wsp:val=&quot;00CA2EEC&quot;/&gt;&lt;wsp:rsid wsp:val=&quot;00CA3A7C&quot;/&gt;&lt;wsp:rsid wsp:val=&quot;00CA3AAC&quot;/&gt;&lt;wsp:rsid wsp:val=&quot;00CA4E47&quot;/&gt;&lt;wsp:rsid wsp:val=&quot;00CA513F&quot;/&gt;&lt;wsp:rsid wsp:val=&quot;00CA5EAA&quot;/&gt;&lt;wsp:rsid wsp:val=&quot;00CA7E54&quot;/&gt;&lt;wsp:rsid wsp:val=&quot;00CB07CA&quot;/&gt;&lt;wsp:rsid wsp:val=&quot;00CB0963&quot;/&gt;&lt;wsp:rsid wsp:val=&quot;00CB13E0&quot;/&gt;&lt;wsp:rsid wsp:val=&quot;00CB2D1F&quot;/&gt;&lt;wsp:rsid wsp:val=&quot;00CB3ED8&quot;/&gt;&lt;wsp:rsid wsp:val=&quot;00CB3F87&quot;/&gt;&lt;wsp:rsid wsp:val=&quot;00CB4539&quot;/&gt;&lt;wsp:rsid wsp:val=&quot;00CB54D8&quot;/&gt;&lt;wsp:rsid wsp:val=&quot;00CB5A33&quot;/&gt;&lt;wsp:rsid wsp:val=&quot;00CB7E85&quot;/&gt;&lt;wsp:rsid wsp:val=&quot;00CC08A2&quot;/&gt;&lt;wsp:rsid wsp:val=&quot;00CC115D&quot;/&gt;&lt;wsp:rsid wsp:val=&quot;00CC30C6&quot;/&gt;&lt;wsp:rsid wsp:val=&quot;00CC468B&quot;/&gt;&lt;wsp:rsid wsp:val=&quot;00CC4ACC&quot;/&gt;&lt;wsp:rsid wsp:val=&quot;00CC4B30&quot;/&gt;&lt;wsp:rsid wsp:val=&quot;00CC6495&quot;/&gt;&lt;wsp:rsid wsp:val=&quot;00CC6DE7&quot;/&gt;&lt;wsp:rsid wsp:val=&quot;00CC766B&quot;/&gt;&lt;wsp:rsid wsp:val=&quot;00CD045C&quot;/&gt;&lt;wsp:rsid wsp:val=&quot;00CD180E&quot;/&gt;&lt;wsp:rsid wsp:val=&quot;00CD277E&quot;/&gt;&lt;wsp:rsid wsp:val=&quot;00CD2E96&quot;/&gt;&lt;wsp:rsid wsp:val=&quot;00CD3167&quot;/&gt;&lt;wsp:rsid wsp:val=&quot;00CD3B28&quot;/&gt;&lt;wsp:rsid wsp:val=&quot;00CD3EC1&quot;/&gt;&lt;wsp:rsid wsp:val=&quot;00CD4527&quot;/&gt;&lt;wsp:rsid wsp:val=&quot;00CD5E6C&quot;/&gt;&lt;wsp:rsid wsp:val=&quot;00CD6092&quot;/&gt;&lt;wsp:rsid wsp:val=&quot;00CD61C3&quot;/&gt;&lt;wsp:rsid wsp:val=&quot;00CD6736&quot;/&gt;&lt;wsp:rsid wsp:val=&quot;00CD68CB&quot;/&gt;&lt;wsp:rsid wsp:val=&quot;00CD6CF4&quot;/&gt;&lt;wsp:rsid wsp:val=&quot;00CD78E2&quot;/&gt;&lt;wsp:rsid wsp:val=&quot;00CE01D4&quot;/&gt;&lt;wsp:rsid wsp:val=&quot;00CE020A&quot;/&gt;&lt;wsp:rsid wsp:val=&quot;00CE15F9&quot;/&gt;&lt;wsp:rsid wsp:val=&quot;00CE17CA&quot;/&gt;&lt;wsp:rsid wsp:val=&quot;00CE1B19&quot;/&gt;&lt;wsp:rsid wsp:val=&quot;00CE2511&quot;/&gt;&lt;wsp:rsid wsp:val=&quot;00CE379C&quot;/&gt;&lt;wsp:rsid wsp:val=&quot;00CE3846&quot;/&gt;&lt;wsp:rsid wsp:val=&quot;00CE476D&quot;/&gt;&lt;wsp:rsid wsp:val=&quot;00CE5B57&quot;/&gt;&lt;wsp:rsid wsp:val=&quot;00CE5EC1&quot;/&gt;&lt;wsp:rsid wsp:val=&quot;00CE5EC7&quot;/&gt;&lt;wsp:rsid wsp:val=&quot;00CE71D0&quot;/&gt;&lt;wsp:rsid wsp:val=&quot;00CE728E&quot;/&gt;&lt;wsp:rsid wsp:val=&quot;00CE77A0&quot;/&gt;&lt;wsp:rsid wsp:val=&quot;00CF0F1B&quot;/&gt;&lt;wsp:rsid wsp:val=&quot;00CF1BA5&quot;/&gt;&lt;wsp:rsid wsp:val=&quot;00CF2CC0&quot;/&gt;&lt;wsp:rsid wsp:val=&quot;00CF2FBB&quot;/&gt;&lt;wsp:rsid wsp:val=&quot;00CF3ADF&quot;/&gt;&lt;wsp:rsid wsp:val=&quot;00CF3B6E&quot;/&gt;&lt;wsp:rsid wsp:val=&quot;00CF3C3D&quot;/&gt;&lt;wsp:rsid wsp:val=&quot;00CF54D2&quot;/&gt;&lt;wsp:rsid wsp:val=&quot;00CF69DE&quot;/&gt;&lt;wsp:rsid wsp:val=&quot;00CF6EEE&quot;/&gt;&lt;wsp:rsid wsp:val=&quot;00CF7DF7&quot;/&gt;&lt;wsp:rsid wsp:val=&quot;00CF7E09&quot;/&gt;&lt;wsp:rsid wsp:val=&quot;00D02180&quot;/&gt;&lt;wsp:rsid wsp:val=&quot;00D02790&quot;/&gt;&lt;wsp:rsid wsp:val=&quot;00D042B3&quot;/&gt;&lt;wsp:rsid wsp:val=&quot;00D051DC&quot;/&gt;&lt;wsp:rsid wsp:val=&quot;00D05220&quot;/&gt;&lt;wsp:rsid wsp:val=&quot;00D06288&quot;/&gt;&lt;wsp:rsid wsp:val=&quot;00D06323&quot;/&gt;&lt;wsp:rsid wsp:val=&quot;00D067EA&quot;/&gt;&lt;wsp:rsid wsp:val=&quot;00D06D96&quot;/&gt;&lt;wsp:rsid wsp:val=&quot;00D07621&quot;/&gt;&lt;wsp:rsid wsp:val=&quot;00D07BF3&quot;/&gt;&lt;wsp:rsid wsp:val=&quot;00D101ED&quot;/&gt;&lt;wsp:rsid wsp:val=&quot;00D104CF&quot;/&gt;&lt;wsp:rsid wsp:val=&quot;00D10EDA&quot;/&gt;&lt;wsp:rsid wsp:val=&quot;00D120C5&quot;/&gt;&lt;wsp:rsid wsp:val=&quot;00D1220A&quot;/&gt;&lt;wsp:rsid wsp:val=&quot;00D126BB&quot;/&gt;&lt;wsp:rsid wsp:val=&quot;00D127B0&quot;/&gt;&lt;wsp:rsid wsp:val=&quot;00D13AED&quot;/&gt;&lt;wsp:rsid wsp:val=&quot;00D13F9F&quot;/&gt;&lt;wsp:rsid wsp:val=&quot;00D140F1&quot;/&gt;&lt;wsp:rsid wsp:val=&quot;00D144A9&quot;/&gt;&lt;wsp:rsid wsp:val=&quot;00D14868&quot;/&gt;&lt;wsp:rsid wsp:val=&quot;00D15F18&quot;/&gt;&lt;wsp:rsid wsp:val=&quot;00D175F4&quot;/&gt;&lt;wsp:rsid wsp:val=&quot;00D17F6C&quot;/&gt;&lt;wsp:rsid wsp:val=&quot;00D20039&quot;/&gt;&lt;wsp:rsid wsp:val=&quot;00D20CA3&quot;/&gt;&lt;wsp:rsid wsp:val=&quot;00D216A7&quot;/&gt;&lt;wsp:rsid wsp:val=&quot;00D21A04&quot;/&gt;&lt;wsp:rsid wsp:val=&quot;00D22310&quot;/&gt;&lt;wsp:rsid wsp:val=&quot;00D22CB1&quot;/&gt;&lt;wsp:rsid wsp:val=&quot;00D235CE&quot;/&gt;&lt;wsp:rsid wsp:val=&quot;00D23EC1&quot;/&gt;&lt;wsp:rsid wsp:val=&quot;00D2459E&quot;/&gt;&lt;wsp:rsid wsp:val=&quot;00D24F87&quot;/&gt;&lt;wsp:rsid wsp:val=&quot;00D25358&quot;/&gt;&lt;wsp:rsid wsp:val=&quot;00D25536&quot;/&gt;&lt;wsp:rsid wsp:val=&quot;00D2631F&quot;/&gt;&lt;wsp:rsid wsp:val=&quot;00D302FE&quot;/&gt;&lt;wsp:rsid wsp:val=&quot;00D30C98&quot;/&gt;&lt;wsp:rsid wsp:val=&quot;00D31257&quot;/&gt;&lt;wsp:rsid wsp:val=&quot;00D31504&quot;/&gt;&lt;wsp:rsid wsp:val=&quot;00D32951&quot;/&gt;&lt;wsp:rsid wsp:val=&quot;00D32F1E&quot;/&gt;&lt;wsp:rsid wsp:val=&quot;00D3311D&quot;/&gt;&lt;wsp:rsid wsp:val=&quot;00D3312B&quot;/&gt;&lt;wsp:rsid wsp:val=&quot;00D342E2&quot;/&gt;&lt;wsp:rsid wsp:val=&quot;00D34538&quot;/&gt;&lt;wsp:rsid wsp:val=&quot;00D34FD1&quot;/&gt;&lt;wsp:rsid wsp:val=&quot;00D36109&quot;/&gt;&lt;wsp:rsid wsp:val=&quot;00D36666&quot;/&gt;&lt;wsp:rsid wsp:val=&quot;00D372D6&quot;/&gt;&lt;wsp:rsid wsp:val=&quot;00D37D72&quot;/&gt;&lt;wsp:rsid wsp:val=&quot;00D40163&quot;/&gt;&lt;wsp:rsid wsp:val=&quot;00D40DAD&quot;/&gt;&lt;wsp:rsid wsp:val=&quot;00D418C6&quot;/&gt;&lt;wsp:rsid wsp:val=&quot;00D41B26&quot;/&gt;&lt;wsp:rsid wsp:val=&quot;00D43010&quot;/&gt;&lt;wsp:rsid wsp:val=&quot;00D43C52&quot;/&gt;&lt;wsp:rsid wsp:val=&quot;00D43F66&quot;/&gt;&lt;wsp:rsid wsp:val=&quot;00D44625&quot;/&gt;&lt;wsp:rsid wsp:val=&quot;00D45BA3&quot;/&gt;&lt;wsp:rsid wsp:val=&quot;00D45D23&quot;/&gt;&lt;wsp:rsid wsp:val=&quot;00D46B54&quot;/&gt;&lt;wsp:rsid wsp:val=&quot;00D46DDA&quot;/&gt;&lt;wsp:rsid wsp:val=&quot;00D50640&quot;/&gt;&lt;wsp:rsid wsp:val=&quot;00D510AD&quot;/&gt;&lt;wsp:rsid wsp:val=&quot;00D5181C&quot;/&gt;&lt;wsp:rsid wsp:val=&quot;00D52915&quot;/&gt;&lt;wsp:rsid wsp:val=&quot;00D53561&quot;/&gt;&lt;wsp:rsid wsp:val=&quot;00D53835&quot;/&gt;&lt;wsp:rsid wsp:val=&quot;00D53AA2&quot;/&gt;&lt;wsp:rsid wsp:val=&quot;00D54263&quot;/&gt;&lt;wsp:rsid wsp:val=&quot;00D547BA&quot;/&gt;&lt;wsp:rsid wsp:val=&quot;00D56448&quot;/&gt;&lt;wsp:rsid wsp:val=&quot;00D56BBD&quot;/&gt;&lt;wsp:rsid wsp:val=&quot;00D56D91&quot;/&gt;&lt;wsp:rsid wsp:val=&quot;00D56DB9&quot;/&gt;&lt;wsp:rsid wsp:val=&quot;00D57824&quot;/&gt;&lt;wsp:rsid wsp:val=&quot;00D57A39&quot;/&gt;&lt;wsp:rsid wsp:val=&quot;00D57F30&quot;/&gt;&lt;wsp:rsid wsp:val=&quot;00D60606&quot;/&gt;&lt;wsp:rsid wsp:val=&quot;00D607FA&quot;/&gt;&lt;wsp:rsid wsp:val=&quot;00D60C99&quot;/&gt;&lt;wsp:rsid wsp:val=&quot;00D610F7&quot;/&gt;&lt;wsp:rsid wsp:val=&quot;00D6159C&quot;/&gt;&lt;wsp:rsid wsp:val=&quot;00D6170A&quot;/&gt;&lt;wsp:rsid wsp:val=&quot;00D61B24&quot;/&gt;&lt;wsp:rsid wsp:val=&quot;00D62204&quot;/&gt;&lt;wsp:rsid wsp:val=&quot;00D6230F&quot;/&gt;&lt;wsp:rsid wsp:val=&quot;00D62852&quot;/&gt;&lt;wsp:rsid wsp:val=&quot;00D63712&quot;/&gt;&lt;wsp:rsid wsp:val=&quot;00D638AE&quot;/&gt;&lt;wsp:rsid wsp:val=&quot;00D63E61&quot;/&gt;&lt;wsp:rsid wsp:val=&quot;00D64017&quot;/&gt;&lt;wsp:rsid wsp:val=&quot;00D6436E&quot;/&gt;&lt;wsp:rsid wsp:val=&quot;00D64A3E&quot;/&gt;&lt;wsp:rsid wsp:val=&quot;00D65BA7&quot;/&gt;&lt;wsp:rsid wsp:val=&quot;00D6667C&quot;/&gt;&lt;wsp:rsid wsp:val=&quot;00D67430&quot;/&gt;&lt;wsp:rsid wsp:val=&quot;00D67BC2&quot;/&gt;&lt;wsp:rsid wsp:val=&quot;00D710F3&quot;/&gt;&lt;wsp:rsid wsp:val=&quot;00D71302&quot;/&gt;&lt;wsp:rsid wsp:val=&quot;00D7135C&quot;/&gt;&lt;wsp:rsid wsp:val=&quot;00D742A8&quot;/&gt;&lt;wsp:rsid wsp:val=&quot;00D74311&quot;/&gt;&lt;wsp:rsid wsp:val=&quot;00D744D0&quot;/&gt;&lt;wsp:rsid wsp:val=&quot;00D746EB&quot;/&gt;&lt;wsp:rsid wsp:val=&quot;00D7689D&quot;/&gt;&lt;wsp:rsid wsp:val=&quot;00D8083B&quot;/&gt;&lt;wsp:rsid wsp:val=&quot;00D809E2&quot;/&gt;&lt;wsp:rsid wsp:val=&quot;00D81183&quot;/&gt;&lt;wsp:rsid wsp:val=&quot;00D81206&quot;/&gt;&lt;wsp:rsid wsp:val=&quot;00D817C5&quot;/&gt;&lt;wsp:rsid wsp:val=&quot;00D81A72&quot;/&gt;&lt;wsp:rsid wsp:val=&quot;00D81E97&quot;/&gt;&lt;wsp:rsid wsp:val=&quot;00D82322&quot;/&gt;&lt;wsp:rsid wsp:val=&quot;00D82914&quot;/&gt;&lt;wsp:rsid wsp:val=&quot;00D83028&quot;/&gt;&lt;wsp:rsid wsp:val=&quot;00D8342F&quot;/&gt;&lt;wsp:rsid wsp:val=&quot;00D83B0A&quot;/&gt;&lt;wsp:rsid wsp:val=&quot;00D8489E&quot;/&gt;&lt;wsp:rsid wsp:val=&quot;00D84A33&quot;/&gt;&lt;wsp:rsid wsp:val=&quot;00D85D43&quot;/&gt;&lt;wsp:rsid wsp:val=&quot;00D86471&quot;/&gt;&lt;wsp:rsid wsp:val=&quot;00D86F55&quot;/&gt;&lt;wsp:rsid wsp:val=&quot;00D87EE8&quot;/&gt;&lt;wsp:rsid wsp:val=&quot;00D90AD0&quot;/&gt;&lt;wsp:rsid wsp:val=&quot;00D90BE7&quot;/&gt;&lt;wsp:rsid wsp:val=&quot;00D91D6D&quot;/&gt;&lt;wsp:rsid wsp:val=&quot;00D91F9D&quot;/&gt;&lt;wsp:rsid wsp:val=&quot;00D93863&quot;/&gt;&lt;wsp:rsid wsp:val=&quot;00D9399E&quot;/&gt;&lt;wsp:rsid wsp:val=&quot;00D9419D&quot;/&gt;&lt;wsp:rsid wsp:val=&quot;00D950AD&quot;/&gt;&lt;wsp:rsid wsp:val=&quot;00D951A9&quot;/&gt;&lt;wsp:rsid wsp:val=&quot;00D956A9&quot;/&gt;&lt;wsp:rsid wsp:val=&quot;00D95D17&quot;/&gt;&lt;wsp:rsid wsp:val=&quot;00D96102&quot;/&gt;&lt;wsp:rsid wsp:val=&quot;00D9655B&quot;/&gt;&lt;wsp:rsid wsp:val=&quot;00D96DDD&quot;/&gt;&lt;wsp:rsid wsp:val=&quot;00D974E9&quot;/&gt;&lt;wsp:rsid wsp:val=&quot;00D97C92&quot;/&gt;&lt;wsp:rsid wsp:val=&quot;00D97D4E&quot;/&gt;&lt;wsp:rsid wsp:val=&quot;00DA07AE&quot;/&gt;&lt;wsp:rsid wsp:val=&quot;00DA0D27&quot;/&gt;&lt;wsp:rsid wsp:val=&quot;00DA1AF8&quot;/&gt;&lt;wsp:rsid wsp:val=&quot;00DA1C33&quot;/&gt;&lt;wsp:rsid wsp:val=&quot;00DA2364&quot;/&gt;&lt;wsp:rsid wsp:val=&quot;00DA3481&quot;/&gt;&lt;wsp:rsid wsp:val=&quot;00DA3A2C&quot;/&gt;&lt;wsp:rsid wsp:val=&quot;00DA3BD2&quot;/&gt;&lt;wsp:rsid wsp:val=&quot;00DA54A2&quot;/&gt;&lt;wsp:rsid wsp:val=&quot;00DA6E32&quot;/&gt;&lt;wsp:rsid wsp:val=&quot;00DA79AA&quot;/&gt;&lt;wsp:rsid wsp:val=&quot;00DB00FD&quot;/&gt;&lt;wsp:rsid wsp:val=&quot;00DB0977&quot;/&gt;&lt;wsp:rsid wsp:val=&quot;00DB1483&quot;/&gt;&lt;wsp:rsid wsp:val=&quot;00DB1CB1&quot;/&gt;&lt;wsp:rsid wsp:val=&quot;00DB215C&quot;/&gt;&lt;wsp:rsid wsp:val=&quot;00DB2864&quot;/&gt;&lt;wsp:rsid wsp:val=&quot;00DB2D9C&quot;/&gt;&lt;wsp:rsid wsp:val=&quot;00DB33A7&quot;/&gt;&lt;wsp:rsid wsp:val=&quot;00DB37CE&quot;/&gt;&lt;wsp:rsid wsp:val=&quot;00DB4346&quot;/&gt;&lt;wsp:rsid wsp:val=&quot;00DB52C8&quot;/&gt;&lt;wsp:rsid wsp:val=&quot;00DB535A&quot;/&gt;&lt;wsp:rsid wsp:val=&quot;00DB59E4&quot;/&gt;&lt;wsp:rsid wsp:val=&quot;00DB5B19&quot;/&gt;&lt;wsp:rsid wsp:val=&quot;00DB5FF1&quot;/&gt;&lt;wsp:rsid wsp:val=&quot;00DB63D3&quot;/&gt;&lt;wsp:rsid wsp:val=&quot;00DB6407&quot;/&gt;&lt;wsp:rsid wsp:val=&quot;00DC1336&quot;/&gt;&lt;wsp:rsid wsp:val=&quot;00DC165E&quot;/&gt;&lt;wsp:rsid wsp:val=&quot;00DC21F0&quot;/&gt;&lt;wsp:rsid wsp:val=&quot;00DC25FF&quot;/&gt;&lt;wsp:rsid wsp:val=&quot;00DC2A04&quot;/&gt;&lt;wsp:rsid wsp:val=&quot;00DC31BF&quot;/&gt;&lt;wsp:rsid wsp:val=&quot;00DC31F1&quot;/&gt;&lt;wsp:rsid wsp:val=&quot;00DC33CD&quot;/&gt;&lt;wsp:rsid wsp:val=&quot;00DC4044&quot;/&gt;&lt;wsp:rsid wsp:val=&quot;00DC49FC&quot;/&gt;&lt;wsp:rsid wsp:val=&quot;00DC60A0&quot;/&gt;&lt;wsp:rsid wsp:val=&quot;00DC6D0C&quot;/&gt;&lt;wsp:rsid wsp:val=&quot;00DC71AD&quot;/&gt;&lt;wsp:rsid wsp:val=&quot;00DC7818&quot;/&gt;&lt;wsp:rsid wsp:val=&quot;00DD1066&quot;/&gt;&lt;wsp:rsid wsp:val=&quot;00DD1A6F&quot;/&gt;&lt;wsp:rsid wsp:val=&quot;00DD1B66&quot;/&gt;&lt;wsp:rsid wsp:val=&quot;00DD1C6C&quot;/&gt;&lt;wsp:rsid wsp:val=&quot;00DD2264&quot;/&gt;&lt;wsp:rsid wsp:val=&quot;00DD253A&quot;/&gt;&lt;wsp:rsid wsp:val=&quot;00DD400A&quot;/&gt;&lt;wsp:rsid wsp:val=&quot;00DD4714&quot;/&gt;&lt;wsp:rsid wsp:val=&quot;00DD4EC4&quot;/&gt;&lt;wsp:rsid wsp:val=&quot;00DD677C&quot;/&gt;&lt;wsp:rsid wsp:val=&quot;00DD7956&quot;/&gt;&lt;wsp:rsid wsp:val=&quot;00DD79EF&quot;/&gt;&lt;wsp:rsid wsp:val=&quot;00DE03CF&quot;/&gt;&lt;wsp:rsid wsp:val=&quot;00DE1A90&quot;/&gt;&lt;wsp:rsid wsp:val=&quot;00DE2CC6&quot;/&gt;&lt;wsp:rsid wsp:val=&quot;00DE4580&quot;/&gt;&lt;wsp:rsid wsp:val=&quot;00DE50E5&quot;/&gt;&lt;wsp:rsid wsp:val=&quot;00DE5A95&quot;/&gt;&lt;wsp:rsid wsp:val=&quot;00DE5DB4&quot;/&gt;&lt;wsp:rsid wsp:val=&quot;00DE6017&quot;/&gt;&lt;wsp:rsid wsp:val=&quot;00DE6D58&quot;/&gt;&lt;wsp:rsid wsp:val=&quot;00DE74BF&quot;/&gt;&lt;wsp:rsid wsp:val=&quot;00DE78EF&quot;/&gt;&lt;wsp:rsid wsp:val=&quot;00DE7DE5&quot;/&gt;&lt;wsp:rsid wsp:val=&quot;00DE7EDF&quot;/&gt;&lt;wsp:rsid wsp:val=&quot;00DF00B8&quot;/&gt;&lt;wsp:rsid wsp:val=&quot;00DF0488&quot;/&gt;&lt;wsp:rsid wsp:val=&quot;00DF05D9&quot;/&gt;&lt;wsp:rsid wsp:val=&quot;00DF06A2&quot;/&gt;&lt;wsp:rsid wsp:val=&quot;00DF3066&quot;/&gt;&lt;wsp:rsid wsp:val=&quot;00DF34CF&quot;/&gt;&lt;wsp:rsid wsp:val=&quot;00DF35CC&quot;/&gt;&lt;wsp:rsid wsp:val=&quot;00DF4B2A&quot;/&gt;&lt;wsp:rsid wsp:val=&quot;00DF4CE0&quot;/&gt;&lt;wsp:rsid wsp:val=&quot;00DF5314&quot;/&gt;&lt;wsp:rsid wsp:val=&quot;00DF5333&quot;/&gt;&lt;wsp:rsid wsp:val=&quot;00DF5912&quot;/&gt;&lt;wsp:rsid wsp:val=&quot;00DF65BC&quot;/&gt;&lt;wsp:rsid wsp:val=&quot;00DF6647&quot;/&gt;&lt;wsp:rsid wsp:val=&quot;00DF6978&quot;/&gt;&lt;wsp:rsid wsp:val=&quot;00DF6B08&quot;/&gt;&lt;wsp:rsid wsp:val=&quot;00DF72E5&quot;/&gt;&lt;wsp:rsid wsp:val=&quot;00DF77ED&quot;/&gt;&lt;wsp:rsid wsp:val=&quot;00E0025D&quot;/&gt;&lt;wsp:rsid wsp:val=&quot;00E00543&quot;/&gt;&lt;wsp:rsid wsp:val=&quot;00E00A45&quot;/&gt;&lt;wsp:rsid wsp:val=&quot;00E00FEE&quot;/&gt;&lt;wsp:rsid wsp:val=&quot;00E0102D&quot;/&gt;&lt;wsp:rsid wsp:val=&quot;00E0139D&quot;/&gt;&lt;wsp:rsid wsp:val=&quot;00E02285&quot;/&gt;&lt;wsp:rsid wsp:val=&quot;00E0293E&quot;/&gt;&lt;wsp:rsid wsp:val=&quot;00E02FCE&quot;/&gt;&lt;wsp:rsid wsp:val=&quot;00E037B4&quot;/&gt;&lt;wsp:rsid wsp:val=&quot;00E03A20&quot;/&gt;&lt;wsp:rsid wsp:val=&quot;00E03D8B&quot;/&gt;&lt;wsp:rsid wsp:val=&quot;00E04042&quot;/&gt;&lt;wsp:rsid wsp:val=&quot;00E04ADE&quot;/&gt;&lt;wsp:rsid wsp:val=&quot;00E05CD3&quot;/&gt;&lt;wsp:rsid wsp:val=&quot;00E07704&quot;/&gt;&lt;wsp:rsid wsp:val=&quot;00E0790A&quot;/&gt;&lt;wsp:rsid wsp:val=&quot;00E07B3B&quot;/&gt;&lt;wsp:rsid wsp:val=&quot;00E11755&quot;/&gt;&lt;wsp:rsid wsp:val=&quot;00E11D36&quot;/&gt;&lt;wsp:rsid wsp:val=&quot;00E12B74&quot;/&gt;&lt;wsp:rsid wsp:val=&quot;00E154A8&quot;/&gt;&lt;wsp:rsid wsp:val=&quot;00E16067&quot;/&gt;&lt;wsp:rsid wsp:val=&quot;00E164F2&quot;/&gt;&lt;wsp:rsid wsp:val=&quot;00E17062&quot;/&gt;&lt;wsp:rsid wsp:val=&quot;00E202AC&quot;/&gt;&lt;wsp:rsid wsp:val=&quot;00E20967&quot;/&gt;&lt;wsp:rsid wsp:val=&quot;00E21088&quot;/&gt;&lt;wsp:rsid wsp:val=&quot;00E2134D&quot;/&gt;&lt;wsp:rsid wsp:val=&quot;00E2224C&quot;/&gt;&lt;wsp:rsid wsp:val=&quot;00E232E2&quot;/&gt;&lt;wsp:rsid wsp:val=&quot;00E23FF3&quot;/&gt;&lt;wsp:rsid wsp:val=&quot;00E2510A&quot;/&gt;&lt;wsp:rsid wsp:val=&quot;00E26340&quot;/&gt;&lt;wsp:rsid wsp:val=&quot;00E26ACE&quot;/&gt;&lt;wsp:rsid wsp:val=&quot;00E26CFB&quot;/&gt;&lt;wsp:rsid wsp:val=&quot;00E2711B&quot;/&gt;&lt;wsp:rsid wsp:val=&quot;00E27EE5&quot;/&gt;&lt;wsp:rsid wsp:val=&quot;00E308C8&quot;/&gt;&lt;wsp:rsid wsp:val=&quot;00E30B40&quot;/&gt;&lt;wsp:rsid wsp:val=&quot;00E3111A&quot;/&gt;&lt;wsp:rsid wsp:val=&quot;00E32496&quot;/&gt;&lt;wsp:rsid wsp:val=&quot;00E32B4D&quot;/&gt;&lt;wsp:rsid wsp:val=&quot;00E32C3B&quot;/&gt;&lt;wsp:rsid wsp:val=&quot;00E335ED&quot;/&gt;&lt;wsp:rsid wsp:val=&quot;00E33DBB&quot;/&gt;&lt;wsp:rsid wsp:val=&quot;00E346DD&quot;/&gt;&lt;wsp:rsid wsp:val=&quot;00E35775&quot;/&gt;&lt;wsp:rsid wsp:val=&quot;00E37AE4&quot;/&gt;&lt;wsp:rsid wsp:val=&quot;00E419A4&quot;/&gt;&lt;wsp:rsid wsp:val=&quot;00E4282A&quot;/&gt;&lt;wsp:rsid wsp:val=&quot;00E42994&quot;/&gt;&lt;wsp:rsid wsp:val=&quot;00E42ACE&quot;/&gt;&lt;wsp:rsid wsp:val=&quot;00E42BA7&quot;/&gt;&lt;wsp:rsid wsp:val=&quot;00E42BDB&quot;/&gt;&lt;wsp:rsid wsp:val=&quot;00E42C18&quot;/&gt;&lt;wsp:rsid wsp:val=&quot;00E43B69&quot;/&gt;&lt;wsp:rsid wsp:val=&quot;00E451FF&quot;/&gt;&lt;wsp:rsid wsp:val=&quot;00E45554&quot;/&gt;&lt;wsp:rsid wsp:val=&quot;00E4639A&quot;/&gt;&lt;wsp:rsid wsp:val=&quot;00E46A24&quot;/&gt;&lt;wsp:rsid wsp:val=&quot;00E46B62&quot;/&gt;&lt;wsp:rsid wsp:val=&quot;00E4713C&quot;/&gt;&lt;wsp:rsid wsp:val=&quot;00E475D9&quot;/&gt;&lt;wsp:rsid wsp:val=&quot;00E47D02&quot;/&gt;&lt;wsp:rsid wsp:val=&quot;00E50998&quot;/&gt;&lt;wsp:rsid wsp:val=&quot;00E51095&quot;/&gt;&lt;wsp:rsid wsp:val=&quot;00E51C27&quot;/&gt;&lt;wsp:rsid wsp:val=&quot;00E51D02&quot;/&gt;&lt;wsp:rsid wsp:val=&quot;00E53415&quot;/&gt;&lt;wsp:rsid wsp:val=&quot;00E537DA&quot;/&gt;&lt;wsp:rsid wsp:val=&quot;00E53E12&quot;/&gt;&lt;wsp:rsid wsp:val=&quot;00E53FD8&quot;/&gt;&lt;wsp:rsid wsp:val=&quot;00E54C1A&quot;/&gt;&lt;wsp:rsid wsp:val=&quot;00E54EF8&quot;/&gt;&lt;wsp:rsid wsp:val=&quot;00E550EE&quot;/&gt;&lt;wsp:rsid wsp:val=&quot;00E55D77&quot;/&gt;&lt;wsp:rsid wsp:val=&quot;00E56391&quot;/&gt;&lt;wsp:rsid wsp:val=&quot;00E56410&quot;/&gt;&lt;wsp:rsid wsp:val=&quot;00E570E1&quot;/&gt;&lt;wsp:rsid wsp:val=&quot;00E57150&quot;/&gt;&lt;wsp:rsid wsp:val=&quot;00E57B3E&quot;/&gt;&lt;wsp:rsid wsp:val=&quot;00E57C84&quot;/&gt;&lt;wsp:rsid wsp:val=&quot;00E6001C&quot;/&gt;&lt;wsp:rsid wsp:val=&quot;00E61061&quot;/&gt;&lt;wsp:rsid wsp:val=&quot;00E61511&quot;/&gt;&lt;wsp:rsid wsp:val=&quot;00E6242F&quot;/&gt;&lt;wsp:rsid wsp:val=&quot;00E627DD&quot;/&gt;&lt;wsp:rsid wsp:val=&quot;00E62903&quot;/&gt;&lt;wsp:rsid wsp:val=&quot;00E62BDC&quot;/&gt;&lt;wsp:rsid wsp:val=&quot;00E62F86&quot;/&gt;&lt;wsp:rsid wsp:val=&quot;00E63558&quot;/&gt;&lt;wsp:rsid wsp:val=&quot;00E63662&quot;/&gt;&lt;wsp:rsid wsp:val=&quot;00E63812&quot;/&gt;&lt;wsp:rsid wsp:val=&quot;00E640C2&quot;/&gt;&lt;wsp:rsid wsp:val=&quot;00E64DB6&quot;/&gt;&lt;wsp:rsid wsp:val=&quot;00E64F86&quot;/&gt;&lt;wsp:rsid wsp:val=&quot;00E653BD&quot;/&gt;&lt;wsp:rsid wsp:val=&quot;00E658C9&quot;/&gt;&lt;wsp:rsid wsp:val=&quot;00E659A6&quot;/&gt;&lt;wsp:rsid wsp:val=&quot;00E66507&quot;/&gt;&lt;wsp:rsid wsp:val=&quot;00E66AC3&quot;/&gt;&lt;wsp:rsid wsp:val=&quot;00E66DE7&quot;/&gt;&lt;wsp:rsid wsp:val=&quot;00E674C2&quot;/&gt;&lt;wsp:rsid wsp:val=&quot;00E67AF5&quot;/&gt;&lt;wsp:rsid wsp:val=&quot;00E70324&quot;/&gt;&lt;wsp:rsid wsp:val=&quot;00E70B12&quot;/&gt;&lt;wsp:rsid wsp:val=&quot;00E70CE8&quot;/&gt;&lt;wsp:rsid wsp:val=&quot;00E7156E&quot;/&gt;&lt;wsp:rsid wsp:val=&quot;00E7199E&quot;/&gt;&lt;wsp:rsid wsp:val=&quot;00E72723&quot;/&gt;&lt;wsp:rsid wsp:val=&quot;00E73523&quot;/&gt;&lt;wsp:rsid wsp:val=&quot;00E7362A&quot;/&gt;&lt;wsp:rsid wsp:val=&quot;00E739E5&quot;/&gt;&lt;wsp:rsid wsp:val=&quot;00E73AED&quot;/&gt;&lt;wsp:rsid wsp:val=&quot;00E73CE8&quot;/&gt;&lt;wsp:rsid wsp:val=&quot;00E73F73&quot;/&gt;&lt;wsp:rsid wsp:val=&quot;00E74250&quot;/&gt;&lt;wsp:rsid wsp:val=&quot;00E75132&quot;/&gt;&lt;wsp:rsid wsp:val=&quot;00E75373&quot;/&gt;&lt;wsp:rsid wsp:val=&quot;00E75B0D&quot;/&gt;&lt;wsp:rsid wsp:val=&quot;00E7631D&quot;/&gt;&lt;wsp:rsid wsp:val=&quot;00E77D4D&quot;/&gt;&lt;wsp:rsid wsp:val=&quot;00E77F13&quot;/&gt;&lt;wsp:rsid wsp:val=&quot;00E77F3C&quot;/&gt;&lt;wsp:rsid wsp:val=&quot;00E80251&quot;/&gt;&lt;wsp:rsid wsp:val=&quot;00E80535&quot;/&gt;&lt;wsp:rsid wsp:val=&quot;00E81680&quot;/&gt;&lt;wsp:rsid wsp:val=&quot;00E81D69&quot;/&gt;&lt;wsp:rsid wsp:val=&quot;00E837EC&quot;/&gt;&lt;wsp:rsid wsp:val=&quot;00E83FBA&quot;/&gt;&lt;wsp:rsid wsp:val=&quot;00E84240&quot;/&gt;&lt;wsp:rsid wsp:val=&quot;00E848BE&quot;/&gt;&lt;wsp:rsid wsp:val=&quot;00E84BBD&quot;/&gt;&lt;wsp:rsid wsp:val=&quot;00E84C96&quot;/&gt;&lt;wsp:rsid wsp:val=&quot;00E8544A&quot;/&gt;&lt;wsp:rsid wsp:val=&quot;00E85464&quot;/&gt;&lt;wsp:rsid wsp:val=&quot;00E85B6D&quot;/&gt;&lt;wsp:rsid wsp:val=&quot;00E85D74&quot;/&gt;&lt;wsp:rsid wsp:val=&quot;00E85F41&quot;/&gt;&lt;wsp:rsid wsp:val=&quot;00E86916&quot;/&gt;&lt;wsp:rsid wsp:val=&quot;00E869A0&quot;/&gt;&lt;wsp:rsid wsp:val=&quot;00E86A44&quot;/&gt;&lt;wsp:rsid wsp:val=&quot;00E90920&quot;/&gt;&lt;wsp:rsid wsp:val=&quot;00E910BB&quot;/&gt;&lt;wsp:rsid wsp:val=&quot;00E91246&quot;/&gt;&lt;wsp:rsid wsp:val=&quot;00E91322&quot;/&gt;&lt;wsp:rsid wsp:val=&quot;00E91883&quot;/&gt;&lt;wsp:rsid wsp:val=&quot;00E918F3&quot;/&gt;&lt;wsp:rsid wsp:val=&quot;00E91994&quot;/&gt;&lt;wsp:rsid wsp:val=&quot;00E93824&quot;/&gt;&lt;wsp:rsid wsp:val=&quot;00E93BAE&quot;/&gt;&lt;wsp:rsid wsp:val=&quot;00E94787&quot;/&gt;&lt;wsp:rsid wsp:val=&quot;00E94A27&quot;/&gt;&lt;wsp:rsid wsp:val=&quot;00E94B0A&quot;/&gt;&lt;wsp:rsid wsp:val=&quot;00E94D67&quot;/&gt;&lt;wsp:rsid wsp:val=&quot;00E94F32&quot;/&gt;&lt;wsp:rsid wsp:val=&quot;00E95906&quot;/&gt;&lt;wsp:rsid wsp:val=&quot;00E95BFC&quot;/&gt;&lt;wsp:rsid wsp:val=&quot;00E9635A&quot;/&gt;&lt;wsp:rsid wsp:val=&quot;00E964EE&quot;/&gt;&lt;wsp:rsid wsp:val=&quot;00E97690&quot;/&gt;&lt;wsp:rsid wsp:val=&quot;00EA0C5B&quot;/&gt;&lt;wsp:rsid wsp:val=&quot;00EA127F&quot;/&gt;&lt;wsp:rsid wsp:val=&quot;00EA1B3A&quot;/&gt;&lt;wsp:rsid wsp:val=&quot;00EA21FB&quot;/&gt;&lt;wsp:rsid wsp:val=&quot;00EA27C4&quot;/&gt;&lt;wsp:rsid wsp:val=&quot;00EA2818&quot;/&gt;&lt;wsp:rsid wsp:val=&quot;00EA4283&quot;/&gt;&lt;wsp:rsid wsp:val=&quot;00EA4A7A&quot;/&gt;&lt;wsp:rsid wsp:val=&quot;00EA5498&quot;/&gt;&lt;wsp:rsid wsp:val=&quot;00EA5581&quot;/&gt;&lt;wsp:rsid wsp:val=&quot;00EA58B7&quot;/&gt;&lt;wsp:rsid wsp:val=&quot;00EA7849&quot;/&gt;&lt;wsp:rsid wsp:val=&quot;00EA7CE7&quot;/&gt;&lt;wsp:rsid wsp:val=&quot;00EB0326&quot;/&gt;&lt;wsp:rsid wsp:val=&quot;00EB08C7&quot;/&gt;&lt;wsp:rsid wsp:val=&quot;00EB0DA5&quot;/&gt;&lt;wsp:rsid wsp:val=&quot;00EB1895&quot;/&gt;&lt;wsp:rsid wsp:val=&quot;00EB1EBA&quot;/&gt;&lt;wsp:rsid wsp:val=&quot;00EB3CFE&quot;/&gt;&lt;wsp:rsid wsp:val=&quot;00EB3D9A&quot;/&gt;&lt;wsp:rsid wsp:val=&quot;00EB3ED6&quot;/&gt;&lt;wsp:rsid wsp:val=&quot;00EB4E26&quot;/&gt;&lt;wsp:rsid wsp:val=&quot;00EB52D8&quot;/&gt;&lt;wsp:rsid wsp:val=&quot;00EB6540&quot;/&gt;&lt;wsp:rsid wsp:val=&quot;00EB6EB0&quot;/&gt;&lt;wsp:rsid wsp:val=&quot;00EB75C2&quot;/&gt;&lt;wsp:rsid wsp:val=&quot;00EB7953&quot;/&gt;&lt;wsp:rsid wsp:val=&quot;00EC2FA7&quot;/&gt;&lt;wsp:rsid wsp:val=&quot;00EC2FC2&quot;/&gt;&lt;wsp:rsid wsp:val=&quot;00EC3027&quot;/&gt;&lt;wsp:rsid wsp:val=&quot;00EC35F5&quot;/&gt;&lt;wsp:rsid wsp:val=&quot;00EC3644&quot;/&gt;&lt;wsp:rsid wsp:val=&quot;00EC3ABB&quot;/&gt;&lt;wsp:rsid wsp:val=&quot;00EC458C&quot;/&gt;&lt;wsp:rsid wsp:val=&quot;00EC4AF0&quot;/&gt;&lt;wsp:rsid wsp:val=&quot;00EC4D39&quot;/&gt;&lt;wsp:rsid wsp:val=&quot;00EC53D8&quot;/&gt;&lt;wsp:rsid wsp:val=&quot;00EC54FA&quot;/&gt;&lt;wsp:rsid wsp:val=&quot;00EC62EC&quot;/&gt;&lt;wsp:rsid wsp:val=&quot;00EC6463&quot;/&gt;&lt;wsp:rsid wsp:val=&quot;00EC6931&quot;/&gt;&lt;wsp:rsid wsp:val=&quot;00EC7C5C&quot;/&gt;&lt;wsp:rsid wsp:val=&quot;00EC7F3B&quot;/&gt;&lt;wsp:rsid wsp:val=&quot;00ED08A0&quot;/&gt;&lt;wsp:rsid wsp:val=&quot;00ED1D22&quot;/&gt;&lt;wsp:rsid wsp:val=&quot;00ED1ED0&quot;/&gt;&lt;wsp:rsid wsp:val=&quot;00ED2D46&quot;/&gt;&lt;wsp:rsid wsp:val=&quot;00ED4035&quot;/&gt;&lt;wsp:rsid wsp:val=&quot;00ED51D1&quot;/&gt;&lt;wsp:rsid wsp:val=&quot;00ED5209&quot;/&gt;&lt;wsp:rsid wsp:val=&quot;00ED5443&quot;/&gt;&lt;wsp:rsid wsp:val=&quot;00ED57FC&quot;/&gt;&lt;wsp:rsid wsp:val=&quot;00ED5E22&quot;/&gt;&lt;wsp:rsid wsp:val=&quot;00ED5F4D&quot;/&gt;&lt;wsp:rsid wsp:val=&quot;00ED6214&quot;/&gt;&lt;wsp:rsid wsp:val=&quot;00ED6321&quot;/&gt;&lt;wsp:rsid wsp:val=&quot;00ED63F8&quot;/&gt;&lt;wsp:rsid wsp:val=&quot;00EE005C&quot;/&gt;&lt;wsp:rsid wsp:val=&quot;00EE07EB&quot;/&gt;&lt;wsp:rsid wsp:val=&quot;00EE0EBA&quot;/&gt;&lt;wsp:rsid wsp:val=&quot;00EE16AC&quot;/&gt;&lt;wsp:rsid wsp:val=&quot;00EE184B&quot;/&gt;&lt;wsp:rsid wsp:val=&quot;00EE18EA&quot;/&gt;&lt;wsp:rsid wsp:val=&quot;00EE1F8B&quot;/&gt;&lt;wsp:rsid wsp:val=&quot;00EE2002&quot;/&gt;&lt;wsp:rsid wsp:val=&quot;00EE24C7&quot;/&gt;&lt;wsp:rsid wsp:val=&quot;00EE27DE&quot;/&gt;&lt;wsp:rsid wsp:val=&quot;00EE2B45&quot;/&gt;&lt;wsp:rsid wsp:val=&quot;00EE2D92&quot;/&gt;&lt;wsp:rsid wsp:val=&quot;00EE3902&quot;/&gt;&lt;wsp:rsid wsp:val=&quot;00EE3DEB&quot;/&gt;&lt;wsp:rsid wsp:val=&quot;00EE455D&quot;/&gt;&lt;wsp:rsid wsp:val=&quot;00EE4A40&quot;/&gt;&lt;wsp:rsid wsp:val=&quot;00EE4B78&quot;/&gt;&lt;wsp:rsid wsp:val=&quot;00EE4BD7&quot;/&gt;&lt;wsp:rsid wsp:val=&quot;00EE7057&quot;/&gt;&lt;wsp:rsid wsp:val=&quot;00EF04D8&quot;/&gt;&lt;wsp:rsid wsp:val=&quot;00EF0C49&quot;/&gt;&lt;wsp:rsid wsp:val=&quot;00EF154B&quot;/&gt;&lt;wsp:rsid wsp:val=&quot;00EF19C3&quot;/&gt;&lt;wsp:rsid wsp:val=&quot;00EF1B1C&quot;/&gt;&lt;wsp:rsid wsp:val=&quot;00EF1BB4&quot;/&gt;&lt;wsp:rsid wsp:val=&quot;00EF2A1D&quot;/&gt;&lt;wsp:rsid wsp:val=&quot;00EF2E4F&quot;/&gt;&lt;wsp:rsid wsp:val=&quot;00EF3013&quot;/&gt;&lt;wsp:rsid wsp:val=&quot;00EF3CF9&quot;/&gt;&lt;wsp:rsid wsp:val=&quot;00EF3E20&quot;/&gt;&lt;wsp:rsid wsp:val=&quot;00EF4B3B&quot;/&gt;&lt;wsp:rsid wsp:val=&quot;00EF4D7D&quot;/&gt;&lt;wsp:rsid wsp:val=&quot;00EF63CC&quot;/&gt;&lt;wsp:rsid wsp:val=&quot;00EF74F1&quot;/&gt;&lt;wsp:rsid wsp:val=&quot;00EF7AE6&quot;/&gt;&lt;wsp:rsid wsp:val=&quot;00F016FA&quot;/&gt;&lt;wsp:rsid wsp:val=&quot;00F01D5F&quot;/&gt;&lt;wsp:rsid wsp:val=&quot;00F01D7F&quot;/&gt;&lt;wsp:rsid wsp:val=&quot;00F025C4&quot;/&gt;&lt;wsp:rsid wsp:val=&quot;00F028D8&quot;/&gt;&lt;wsp:rsid wsp:val=&quot;00F02F87&quot;/&gt;&lt;wsp:rsid wsp:val=&quot;00F05381&quot;/&gt;&lt;wsp:rsid wsp:val=&quot;00F05AA8&quot;/&gt;&lt;wsp:rsid wsp:val=&quot;00F0738E&quot;/&gt;&lt;wsp:rsid wsp:val=&quot;00F076F1&quot;/&gt;&lt;wsp:rsid wsp:val=&quot;00F07817&quot;/&gt;&lt;wsp:rsid wsp:val=&quot;00F12A22&quot;/&gt;&lt;wsp:rsid wsp:val=&quot;00F14094&quot;/&gt;&lt;wsp:rsid wsp:val=&quot;00F15CD2&quot;/&gt;&lt;wsp:rsid wsp:val=&quot;00F16141&quot;/&gt;&lt;wsp:rsid wsp:val=&quot;00F165ED&quot;/&gt;&lt;wsp:rsid wsp:val=&quot;00F16BC0&quot;/&gt;&lt;wsp:rsid wsp:val=&quot;00F17120&quot;/&gt;&lt;wsp:rsid wsp:val=&quot;00F17219&quot;/&gt;&lt;wsp:rsid wsp:val=&quot;00F174A7&quot;/&gt;&lt;wsp:rsid wsp:val=&quot;00F177BD&quot;/&gt;&lt;wsp:rsid wsp:val=&quot;00F17C01&quot;/&gt;&lt;wsp:rsid wsp:val=&quot;00F2068C&quot;/&gt;&lt;wsp:rsid wsp:val=&quot;00F208BB&quot;/&gt;&lt;wsp:rsid wsp:val=&quot;00F20A1B&quot;/&gt;&lt;wsp:rsid wsp:val=&quot;00F20A5D&quot;/&gt;&lt;wsp:rsid wsp:val=&quot;00F213C6&quot;/&gt;&lt;wsp:rsid wsp:val=&quot;00F213F3&quot;/&gt;&lt;wsp:rsid wsp:val=&quot;00F21EB9&quot;/&gt;&lt;wsp:rsid wsp:val=&quot;00F22608&quot;/&gt;&lt;wsp:rsid wsp:val=&quot;00F22768&quot;/&gt;&lt;wsp:rsid wsp:val=&quot;00F22C1B&quot;/&gt;&lt;wsp:rsid wsp:val=&quot;00F2432B&quot;/&gt;&lt;wsp:rsid wsp:val=&quot;00F2475B&quot;/&gt;&lt;wsp:rsid wsp:val=&quot;00F26CB8&quot;/&gt;&lt;wsp:rsid wsp:val=&quot;00F2786F&quot;/&gt;&lt;wsp:rsid wsp:val=&quot;00F30CF7&quot;/&gt;&lt;wsp:rsid wsp:val=&quot;00F31E22&quot;/&gt;&lt;wsp:rsid wsp:val=&quot;00F332BD&quot;/&gt;&lt;wsp:rsid wsp:val=&quot;00F3338D&quot;/&gt;&lt;wsp:rsid wsp:val=&quot;00F33A86&quot;/&gt;&lt;wsp:rsid wsp:val=&quot;00F33C71&quot;/&gt;&lt;wsp:rsid wsp:val=&quot;00F340E0&quot;/&gt;&lt;wsp:rsid wsp:val=&quot;00F3420C&quot;/&gt;&lt;wsp:rsid wsp:val=&quot;00F34284&quot;/&gt;&lt;wsp:rsid wsp:val=&quot;00F3482F&quot;/&gt;&lt;wsp:rsid wsp:val=&quot;00F34901&quot;/&gt;&lt;wsp:rsid wsp:val=&quot;00F34EA3&quot;/&gt;&lt;wsp:rsid wsp:val=&quot;00F358AE&quot;/&gt;&lt;wsp:rsid wsp:val=&quot;00F35F33&quot;/&gt;&lt;wsp:rsid wsp:val=&quot;00F36F47&quot;/&gt;&lt;wsp:rsid wsp:val=&quot;00F36F49&quot;/&gt;&lt;wsp:rsid wsp:val=&quot;00F37DAE&quot;/&gt;&lt;wsp:rsid wsp:val=&quot;00F40AB3&quot;/&gt;&lt;wsp:rsid wsp:val=&quot;00F40D48&quot;/&gt;&lt;wsp:rsid wsp:val=&quot;00F40D53&quot;/&gt;&lt;wsp:rsid wsp:val=&quot;00F411E6&quot;/&gt;&lt;wsp:rsid wsp:val=&quot;00F41E7E&quot;/&gt;&lt;wsp:rsid wsp:val=&quot;00F4297D&quot;/&gt;&lt;wsp:rsid wsp:val=&quot;00F4330E&quot;/&gt;&lt;wsp:rsid wsp:val=&quot;00F43B1C&quot;/&gt;&lt;wsp:rsid wsp:val=&quot;00F43E0D&quot;/&gt;&lt;wsp:rsid wsp:val=&quot;00F4493C&quot;/&gt;&lt;wsp:rsid wsp:val=&quot;00F44F50&quot;/&gt;&lt;wsp:rsid wsp:val=&quot;00F4528D&quot;/&gt;&lt;wsp:rsid wsp:val=&quot;00F45649&quot;/&gt;&lt;wsp:rsid wsp:val=&quot;00F458D8&quot;/&gt;&lt;wsp:rsid wsp:val=&quot;00F46091&quot;/&gt;&lt;wsp:rsid wsp:val=&quot;00F4611E&quot;/&gt;&lt;wsp:rsid wsp:val=&quot;00F46D2A&quot;/&gt;&lt;wsp:rsid wsp:val=&quot;00F46F0E&quot;/&gt;&lt;wsp:rsid wsp:val=&quot;00F47547&quot;/&gt;&lt;wsp:rsid wsp:val=&quot;00F47A59&quot;/&gt;&lt;wsp:rsid wsp:val=&quot;00F50BB3&quot;/&gt;&lt;wsp:rsid wsp:val=&quot;00F514D2&quot;/&gt;&lt;wsp:rsid wsp:val=&quot;00F51777&quot;/&gt;&lt;wsp:rsid wsp:val=&quot;00F537CA&quot;/&gt;&lt;wsp:rsid wsp:val=&quot;00F53C0D&quot;/&gt;&lt;wsp:rsid wsp:val=&quot;00F54076&quot;/&gt;&lt;wsp:rsid wsp:val=&quot;00F5415C&quot;/&gt;&lt;wsp:rsid wsp:val=&quot;00F54BA3&quot;/&gt;&lt;wsp:rsid wsp:val=&quot;00F54C40&quot;/&gt;&lt;wsp:rsid wsp:val=&quot;00F550B1&quot;/&gt;&lt;wsp:rsid wsp:val=&quot;00F556BE&quot;/&gt;&lt;wsp:rsid wsp:val=&quot;00F5580F&quot;/&gt;&lt;wsp:rsid wsp:val=&quot;00F55C3F&quot;/&gt;&lt;wsp:rsid wsp:val=&quot;00F56624&quot;/&gt;&lt;wsp:rsid wsp:val=&quot;00F56C2F&quot;/&gt;&lt;wsp:rsid wsp:val=&quot;00F57BBF&quot;/&gt;&lt;wsp:rsid wsp:val=&quot;00F6070E&quot;/&gt;&lt;wsp:rsid wsp:val=&quot;00F61AFB&quot;/&gt;&lt;wsp:rsid wsp:val=&quot;00F620DE&quot;/&gt;&lt;wsp:rsid wsp:val=&quot;00F622D8&quot;/&gt;&lt;wsp:rsid wsp:val=&quot;00F63885&quot;/&gt;&lt;wsp:rsid wsp:val=&quot;00F63B70&quot;/&gt;&lt;wsp:rsid wsp:val=&quot;00F63EBA&quot;/&gt;&lt;wsp:rsid wsp:val=&quot;00F63EE4&quot;/&gt;&lt;wsp:rsid wsp:val=&quot;00F65811&quot;/&gt;&lt;wsp:rsid wsp:val=&quot;00F65DF1&quot;/&gt;&lt;wsp:rsid wsp:val=&quot;00F6628E&quot;/&gt;&lt;wsp:rsid wsp:val=&quot;00F66E8F&quot;/&gt;&lt;wsp:rsid wsp:val=&quot;00F67658&quot;/&gt;&lt;wsp:rsid wsp:val=&quot;00F67AA6&quot;/&gt;&lt;wsp:rsid wsp:val=&quot;00F67E2C&quot;/&gt;&lt;wsp:rsid wsp:val=&quot;00F700C6&quot;/&gt;&lt;wsp:rsid wsp:val=&quot;00F70168&quot;/&gt;&lt;wsp:rsid wsp:val=&quot;00F7017E&quot;/&gt;&lt;wsp:rsid wsp:val=&quot;00F70326&quot;/&gt;&lt;wsp:rsid wsp:val=&quot;00F70DEE&quot;/&gt;&lt;wsp:rsid wsp:val=&quot;00F713DC&quot;/&gt;&lt;wsp:rsid wsp:val=&quot;00F71891&quot;/&gt;&lt;wsp:rsid wsp:val=&quot;00F724A7&quot;/&gt;&lt;wsp:rsid wsp:val=&quot;00F72C01&quot;/&gt;&lt;wsp:rsid wsp:val=&quot;00F73F55&quot;/&gt;&lt;wsp:rsid wsp:val=&quot;00F74B7D&quot;/&gt;&lt;wsp:rsid wsp:val=&quot;00F751D4&quot;/&gt;&lt;wsp:rsid wsp:val=&quot;00F75456&quot;/&gt;&lt;wsp:rsid wsp:val=&quot;00F7554D&quot;/&gt;&lt;wsp:rsid wsp:val=&quot;00F75C89&quot;/&gt;&lt;wsp:rsid wsp:val=&quot;00F7679F&quot;/&gt;&lt;wsp:rsid wsp:val=&quot;00F77D64&quot;/&gt;&lt;wsp:rsid wsp:val=&quot;00F80B83&quot;/&gt;&lt;wsp:rsid wsp:val=&quot;00F8107F&quot;/&gt;&lt;wsp:rsid wsp:val=&quot;00F811BF&quot;/&gt;&lt;wsp:rsid wsp:val=&quot;00F8237C&quot;/&gt;&lt;wsp:rsid wsp:val=&quot;00F82E21&quot;/&gt;&lt;wsp:rsid wsp:val=&quot;00F831B4&quot;/&gt;&lt;wsp:rsid wsp:val=&quot;00F83DBA&quot;/&gt;&lt;wsp:rsid wsp:val=&quot;00F84499&quot;/&gt;&lt;wsp:rsid wsp:val=&quot;00F84E6D&quot;/&gt;&lt;wsp:rsid wsp:val=&quot;00F850F1&quot;/&gt;&lt;wsp:rsid wsp:val=&quot;00F85F6C&quot;/&gt;&lt;wsp:rsid wsp:val=&quot;00F90856&quot;/&gt;&lt;wsp:rsid wsp:val=&quot;00F90A2D&quot;/&gt;&lt;wsp:rsid wsp:val=&quot;00F90A7E&quot;/&gt;&lt;wsp:rsid wsp:val=&quot;00F918F2&quot;/&gt;&lt;wsp:rsid wsp:val=&quot;00F91EAA&quot;/&gt;&lt;wsp:rsid wsp:val=&quot;00F920D5&quot;/&gt;&lt;wsp:rsid wsp:val=&quot;00F921CE&quot;/&gt;&lt;wsp:rsid wsp:val=&quot;00F922C3&quot;/&gt;&lt;wsp:rsid wsp:val=&quot;00F925E7&quot;/&gt;&lt;wsp:rsid wsp:val=&quot;00F93070&quot;/&gt;&lt;wsp:rsid wsp:val=&quot;00F93412&quot;/&gt;&lt;wsp:rsid wsp:val=&quot;00F95BF7&quot;/&gt;&lt;wsp:rsid wsp:val=&quot;00F97EF4&quot;/&gt;&lt;wsp:rsid wsp:val=&quot;00FA01FD&quot;/&gt;&lt;wsp:rsid wsp:val=&quot;00FA1368&quot;/&gt;&lt;wsp:rsid wsp:val=&quot;00FA180C&quot;/&gt;&lt;wsp:rsid wsp:val=&quot;00FA2799&quot;/&gt;&lt;wsp:rsid wsp:val=&quot;00FA39CD&quot;/&gt;&lt;wsp:rsid wsp:val=&quot;00FA41C9&quot;/&gt;&lt;wsp:rsid wsp:val=&quot;00FA44A4&quot;/&gt;&lt;wsp:rsid wsp:val=&quot;00FA4F63&quot;/&gt;&lt;wsp:rsid wsp:val=&quot;00FA5634&quot;/&gt;&lt;wsp:rsid wsp:val=&quot;00FA56F3&quot;/&gt;&lt;wsp:rsid wsp:val=&quot;00FA5B9F&quot;/&gt;&lt;wsp:rsid wsp:val=&quot;00FA6082&quot;/&gt;&lt;wsp:rsid wsp:val=&quot;00FA65B1&quot;/&gt;&lt;wsp:rsid wsp:val=&quot;00FA66DC&quot;/&gt;&lt;wsp:rsid wsp:val=&quot;00FA6FB5&quot;/&gt;&lt;wsp:rsid wsp:val=&quot;00FA7235&quot;/&gt;&lt;wsp:rsid wsp:val=&quot;00FA78EA&quot;/&gt;&lt;wsp:rsid wsp:val=&quot;00FA7E49&quot;/&gt;&lt;wsp:rsid wsp:val=&quot;00FA7FAF&quot;/&gt;&lt;wsp:rsid wsp:val=&quot;00FB14D7&quot;/&gt;&lt;wsp:rsid wsp:val=&quot;00FB23DA&quot;/&gt;&lt;wsp:rsid wsp:val=&quot;00FB2B76&quot;/&gt;&lt;wsp:rsid wsp:val=&quot;00FB30D1&quot;/&gt;&lt;wsp:rsid wsp:val=&quot;00FB3B2D&quot;/&gt;&lt;wsp:rsid wsp:val=&quot;00FB3BE1&quot;/&gt;&lt;wsp:rsid wsp:val=&quot;00FB3EBA&quot;/&gt;&lt;wsp:rsid wsp:val=&quot;00FB4EB9&quot;/&gt;&lt;wsp:rsid wsp:val=&quot;00FB5F15&quot;/&gt;&lt;wsp:rsid wsp:val=&quot;00FB614E&quot;/&gt;&lt;wsp:rsid wsp:val=&quot;00FB6434&quot;/&gt;&lt;wsp:rsid wsp:val=&quot;00FB6D84&quot;/&gt;&lt;wsp:rsid wsp:val=&quot;00FB6E79&quot;/&gt;&lt;wsp:rsid wsp:val=&quot;00FB6F78&quot;/&gt;&lt;wsp:rsid wsp:val=&quot;00FB7603&quot;/&gt;&lt;wsp:rsid wsp:val=&quot;00FB7728&quot;/&gt;&lt;wsp:rsid wsp:val=&quot;00FC00AD&quot;/&gt;&lt;wsp:rsid wsp:val=&quot;00FC0298&quot;/&gt;&lt;wsp:rsid wsp:val=&quot;00FC037C&quot;/&gt;&lt;wsp:rsid wsp:val=&quot;00FC1726&quot;/&gt;&lt;wsp:rsid wsp:val=&quot;00FC1BC2&quot;/&gt;&lt;wsp:rsid wsp:val=&quot;00FC255B&quot;/&gt;&lt;wsp:rsid wsp:val=&quot;00FC29BF&quot;/&gt;&lt;wsp:rsid wsp:val=&quot;00FC2B58&quot;/&gt;&lt;wsp:rsid wsp:val=&quot;00FC2F67&quot;/&gt;&lt;wsp:rsid wsp:val=&quot;00FC36E7&quot;/&gt;&lt;wsp:rsid wsp:val=&quot;00FC5D4E&quot;/&gt;&lt;wsp:rsid wsp:val=&quot;00FC6864&quot;/&gt;&lt;wsp:rsid wsp:val=&quot;00FC6FD4&quot;/&gt;&lt;wsp:rsid wsp:val=&quot;00FC7432&quot;/&gt;&lt;wsp:rsid wsp:val=&quot;00FC7BD9&quot;/&gt;&lt;wsp:rsid wsp:val=&quot;00FC7EF5&quot;/&gt;&lt;wsp:rsid wsp:val=&quot;00FD0072&quot;/&gt;&lt;wsp:rsid wsp:val=&quot;00FD09A4&quot;/&gt;&lt;wsp:rsid wsp:val=&quot;00FD1835&quot;/&gt;&lt;wsp:rsid wsp:val=&quot;00FD1D92&quot;/&gt;&lt;wsp:rsid wsp:val=&quot;00FD3510&quot;/&gt;&lt;wsp:rsid wsp:val=&quot;00FD3DF2&quot;/&gt;&lt;wsp:rsid wsp:val=&quot;00FD4050&quot;/&gt;&lt;wsp:rsid wsp:val=&quot;00FD5113&quot;/&gt;&lt;wsp:rsid wsp:val=&quot;00FD59A9&quot;/&gt;&lt;wsp:rsid wsp:val=&quot;00FD5E63&quot;/&gt;&lt;wsp:rsid wsp:val=&quot;00FD62B1&quot;/&gt;&lt;wsp:rsid wsp:val=&quot;00FD66D8&quot;/&gt;&lt;wsp:rsid wsp:val=&quot;00FD771C&quot;/&gt;&lt;wsp:rsid wsp:val=&quot;00FD7991&quot;/&gt;&lt;wsp:rsid wsp:val=&quot;00FE01B4&quot;/&gt;&lt;wsp:rsid wsp:val=&quot;00FE0903&quot;/&gt;&lt;wsp:rsid wsp:val=&quot;00FE0B78&quot;/&gt;&lt;wsp:rsid wsp:val=&quot;00FE2BF2&quot;/&gt;&lt;wsp:rsid wsp:val=&quot;00FE2D4F&quot;/&gt;&lt;wsp:rsid wsp:val=&quot;00FE3437&quot;/&gt;&lt;wsp:rsid wsp:val=&quot;00FE37DF&quot;/&gt;&lt;wsp:rsid wsp:val=&quot;00FE48D1&quot;/&gt;&lt;wsp:rsid wsp:val=&quot;00FE5CBC&quot;/&gt;&lt;wsp:rsid wsp:val=&quot;00FE674D&quot;/&gt;&lt;wsp:rsid wsp:val=&quot;00FE6E85&quot;/&gt;&lt;wsp:rsid wsp:val=&quot;00FF313E&quot;/&gt;&lt;wsp:rsid wsp:val=&quot;00FF319E&quot;/&gt;&lt;wsp:rsid wsp:val=&quot;00FF53AC&quot;/&gt;&lt;wsp:rsid wsp:val=&quot;00FF5558&quot;/&gt;&lt;wsp:rsid wsp:val=&quot;00FF7352&quot;/&gt;&lt;wsp:rsid wsp:val=&quot;00FF7793&quot;/&gt;&lt;wsp:rsid wsp:val=&quot;168E458F&quot;/&gt;&lt;wsp:rsid wsp:val=&quot;5CD76573&quot;/&gt;&lt;wsp:rsid wsp:val=&quot;62B81204&quot;/&gt;&lt;/wsp:rsids&gt;&lt;/w:docPr&gt;&lt;w:body&gt;&lt;w:p wsp:rsidR=&quot;00000000&quot; wsp:rsidRDefault=&quot;002B1DA4&quot;&gt;&lt;m:oMathPara&gt;&lt;m:oMath&gt;&lt;m:r&gt;&lt;m:rPr&gt;&lt;m:sty m:val=&quot;p&quot;/&gt;&lt;/m:rPr&gt;&lt;w:rPr&gt;&lt;w:rFonts w:ascii=&quot;Cambria Math&quot;/&gt;&lt;w:sz w:val=&quot;24&quot;/&gt;&lt;/w:rPr&gt;&lt;m:t&gt;×&lt;/m:t&gt;&lt;/m:r&gt;&lt;/m:oMath&gt;&lt;/m:oMathPara&gt;&lt;/w:p&gt;&lt;w:sectPr wsp:rsidR=&quot;00000000&quot;&gt;&lt;w:pgSz w:w=&quot;12240&quot; w:h=&quot;15840&quot;/&gt;&lt;w:pgMar w:top=&quot;1440&quot; ttttttttttttttttttttttttttw:Pright=&quot;1800&quot; w:bottom=&quot;1440&quot; w:left=&quot;1800&quot; w:header=&quot;720&quot; w:footer=&quot;720&quot; w:gutter=&quot;0&quot;/&gt;&lt;w:cols w:space=&quot;720&quot;/&gt;&lt;/w:sectPr&gt;&lt;/w:body&gt;&lt;/w:wordDocument&gt;">
                  <v:path/>
                  <v:fill on="f" focussize="0,0"/>
                  <v:stroke/>
                  <v:imagedata r:id="rId45" chromakey="#FFFFFF" o:title=""/>
                  <o:lock v:ext="edit" aspectratio="t"/>
                  <w10:wrap type="none"/>
                  <w10:anchorlock/>
                </v:shape>
              </w:pict>
            </w:r>
            <w:r>
              <w:rPr>
                <w:rFonts w:hint="default" w:ascii="Times New Roman" w:hAnsi="Times New Roman" w:cs="Times New Roman"/>
                <w:b w:val="0"/>
                <w:bCs w:val="0"/>
                <w:color w:val="auto"/>
                <w:sz w:val="24"/>
                <w:szCs w:val="24"/>
                <w:highlight w:val="none"/>
              </w:rPr>
              <w:instrText xml:space="preserve"> </w:instrText>
            </w:r>
            <w:r>
              <w:rPr>
                <w:rFonts w:hint="default" w:ascii="Times New Roman" w:hAnsi="Times New Roman" w:cs="Times New Roman"/>
                <w:b w:val="0"/>
                <w:bCs w:val="0"/>
                <w:color w:val="auto"/>
                <w:sz w:val="24"/>
                <w:szCs w:val="24"/>
                <w:highlight w:val="none"/>
              </w:rPr>
              <w:fldChar w:fldCharType="separate"/>
            </w:r>
            <w:r>
              <w:rPr>
                <w:rFonts w:hint="default" w:ascii="Times New Roman" w:hAnsi="Times New Roman" w:cs="Times New Roman"/>
                <w:b w:val="0"/>
                <w:bCs w:val="0"/>
                <w:color w:val="auto"/>
                <w:position w:val="-6"/>
                <w:sz w:val="24"/>
                <w:szCs w:val="24"/>
                <w:highlight w:val="none"/>
              </w:rPr>
              <w:pict>
                <v:shape id="_x0000_i1041" o:spt="75" type="#_x0000_t75" style="height:15.7pt;width:8.1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gutterAtTop/&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targetScreenSz w:val=&quot;1024x768&quot;/&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useFELayout/&gt;&lt;/w:compat&gt;&lt;wsp:rsids&gt;&lt;wsp:rsidRoot wsp:val=&quot;00A3744C&quot;/&gt;&lt;wsp:rsid wsp:val=&quot;000005FE&quot;/&gt;&lt;wsp:rsid wsp:val=&quot;00000E72&quot;/&gt;&lt;wsp:rsid wsp:val=&quot;00001AD6&quot;/&gt;&lt;wsp:rsid wsp:val=&quot;0000238C&quot;/&gt;&lt;wsp:rsid wsp:val=&quot;00002F9B&quot;/&gt;&lt;wsp:rsid wsp:val=&quot;00003CF2&quot;/&gt;&lt;wsp:rsid wsp:val=&quot;00004E62&quot;/&gt;&lt;wsp:rsid wsp:val=&quot;000054C3&quot;/&gt;&lt;wsp:rsid wsp:val=&quot;00005DAB&quot;/&gt;&lt;wsp:rsid wsp:val=&quot;00005DC5&quot;/&gt;&lt;wsp:rsid wsp:val=&quot;000061D4&quot;/&gt;&lt;wsp:rsid wsp:val=&quot;00006363&quot;/&gt;&lt;wsp:rsid wsp:val=&quot;00006BB0&quot;/&gt;&lt;wsp:rsid wsp:val=&quot;00006ED1&quot;/&gt;&lt;wsp:rsid wsp:val=&quot;00007CCA&quot;/&gt;&lt;wsp:rsid wsp:val=&quot;00007D3B&quot;/&gt;&lt;wsp:rsid wsp:val=&quot;00010019&quot;/&gt;&lt;wsp:rsid wsp:val=&quot;00010051&quot;/&gt;&lt;wsp:rsid wsp:val=&quot;00010161&quot;/&gt;&lt;wsp:rsid wsp:val=&quot;000101E6&quot;/&gt;&lt;wsp:rsid wsp:val=&quot;000105AD&quot;/&gt;&lt;wsp:rsid wsp:val=&quot;00010C4C&quot;/&gt;&lt;wsp:rsid wsp:val=&quot;00010E8B&quot;/&gt;&lt;wsp:rsid wsp:val=&quot;0001176D&quot;/&gt;&lt;wsp:rsid wsp:val=&quot;00011FEC&quot;/&gt;&lt;wsp:rsid wsp:val=&quot;00012D59&quot;/&gt;&lt;wsp:rsid wsp:val=&quot;0001434C&quot;/&gt;&lt;wsp:rsid wsp:val=&quot;000145CC&quot;/&gt;&lt;wsp:rsid wsp:val=&quot;0001464F&quot;/&gt;&lt;wsp:rsid wsp:val=&quot;00014735&quot;/&gt;&lt;wsp:rsid wsp:val=&quot;00014CF9&quot;/&gt;&lt;wsp:rsid wsp:val=&quot;00015214&quot;/&gt;&lt;wsp:rsid wsp:val=&quot;0001589A&quot;/&gt;&lt;wsp:rsid wsp:val=&quot;0001644F&quot;/&gt;&lt;wsp:rsid wsp:val=&quot;00020179&quot;/&gt;&lt;wsp:rsid wsp:val=&quot;00021CD2&quot;/&gt;&lt;wsp:rsid wsp:val=&quot;00021E3C&quot;/&gt;&lt;wsp:rsid wsp:val=&quot;00022B15&quot;/&gt;&lt;wsp:rsid wsp:val=&quot;00022C49&quot;/&gt;&lt;wsp:rsid wsp:val=&quot;00022C9B&quot;/&gt;&lt;wsp:rsid wsp:val=&quot;00023214&quot;/&gt;&lt;wsp:rsid wsp:val=&quot;000241B2&quot;/&gt;&lt;wsp:rsid wsp:val=&quot;0002460F&quot;/&gt;&lt;wsp:rsid wsp:val=&quot;00024E09&quot;/&gt;&lt;wsp:rsid wsp:val=&quot;000250B4&quot;/&gt;&lt;wsp:rsid wsp:val=&quot;000257F1&quot;/&gt;&lt;wsp:rsid wsp:val=&quot;00025C9B&quot;/&gt;&lt;wsp:rsid wsp:val=&quot;00025E7B&quot;/&gt;&lt;wsp:rsid wsp:val=&quot;00026F3C&quot;/&gt;&lt;wsp:rsid wsp:val=&quot;00030480&quot;/&gt;&lt;wsp:rsid wsp:val=&quot;000307F8&quot;/&gt;&lt;wsp:rsid wsp:val=&quot;000326C6&quot;/&gt;&lt;wsp:rsid wsp:val=&quot;00033048&quot;/&gt;&lt;wsp:rsid wsp:val=&quot;00034F02&quot;/&gt;&lt;wsp:rsid wsp:val=&quot;000369AE&quot;/&gt;&lt;wsp:rsid wsp:val=&quot;00037CED&quot;/&gt;&lt;wsp:rsid wsp:val=&quot;00041212&quot;/&gt;&lt;wsp:rsid wsp:val=&quot;000416AD&quot;/&gt;&lt;wsp:rsid wsp:val=&quot;00042775&quot;/&gt;&lt;wsp:rsid wsp:val=&quot;00043FB9&quot;/&gt;&lt;wsp:rsid wsp:val=&quot;000445AA&quot;/&gt;&lt;wsp:rsid wsp:val=&quot;0004474B&quot;/&gt;&lt;wsp:rsid wsp:val=&quot;00044E87&quot;/&gt;&lt;wsp:rsid wsp:val=&quot;00045517&quot;/&gt;&lt;wsp:rsid wsp:val=&quot;00045EBA&quot;/&gt;&lt;wsp:rsid wsp:val=&quot;0004626E&quot;/&gt;&lt;wsp:rsid wsp:val=&quot;00047571&quot;/&gt;&lt;wsp:rsid wsp:val=&quot;00047ED2&quot;/&gt;&lt;wsp:rsid wsp:val=&quot;000506D4&quot;/&gt;&lt;wsp:rsid wsp:val=&quot;00052135&quot;/&gt;&lt;wsp:rsid wsp:val=&quot;00053BB8&quot;/&gt;&lt;wsp:rsid wsp:val=&quot;00053D74&quot;/&gt;&lt;wsp:rsid wsp:val=&quot;00054AF1&quot;/&gt;&lt;wsp:rsid wsp:val=&quot;00054EF2&quot;/&gt;&lt;wsp:rsid wsp:val=&quot;00055196&quot;/&gt;&lt;wsp:rsid wsp:val=&quot;00055371&quot;/&gt;&lt;wsp:rsid wsp:val=&quot;00055768&quot;/&gt;&lt;wsp:rsid wsp:val=&quot;000557FB&quot;/&gt;&lt;wsp:rsid wsp:val=&quot;000566EB&quot;/&gt;&lt;wsp:rsid wsp:val=&quot;00056F23&quot;/&gt;&lt;wsp:rsid wsp:val=&quot;00057183&quot;/&gt;&lt;wsp:rsid wsp:val=&quot;000573D6&quot;/&gt;&lt;wsp:rsid wsp:val=&quot;00057AA2&quot;/&gt;&lt;wsp:rsid wsp:val=&quot;00057D9B&quot;/&gt;&lt;wsp:rsid wsp:val=&quot;0006019A&quot;/&gt;&lt;wsp:rsid wsp:val=&quot;000603D9&quot;/&gt;&lt;wsp:rsid wsp:val=&quot;00060527&quot;/&gt;&lt;wsp:rsid wsp:val=&quot;00061118&quot;/&gt;&lt;wsp:rsid wsp:val=&quot;0006183B&quot;/&gt;&lt;wsp:rsid wsp:val=&quot;0006184C&quot;/&gt;&lt;wsp:rsid wsp:val=&quot;0006216B&quot;/&gt;&lt;wsp:rsid wsp:val=&quot;0006306B&quot;/&gt;&lt;wsp:rsid wsp:val=&quot;000630A5&quot;/&gt;&lt;wsp:rsid wsp:val=&quot;00063B02&quot;/&gt;&lt;wsp:rsid wsp:val=&quot;00064451&quot;/&gt;&lt;wsp:rsid wsp:val=&quot;000644D2&quot;/&gt;&lt;wsp:rsid wsp:val=&quot;00064B1A&quot;/&gt;&lt;wsp:rsid wsp:val=&quot;00064C42&quot;/&gt;&lt;wsp:rsid wsp:val=&quot;0006521D&quot;/&gt;&lt;wsp:rsid wsp:val=&quot;000665A1&quot;/&gt;&lt;wsp:rsid wsp:val=&quot;00066734&quot;/&gt;&lt;wsp:rsid wsp:val=&quot;00066FEC&quot;/&gt;&lt;wsp:rsid wsp:val=&quot;00067428&quot;/&gt;&lt;wsp:rsid wsp:val=&quot;0007023A&quot;/&gt;&lt;wsp:rsid wsp:val=&quot;00070538&quot;/&gt;&lt;wsp:rsid wsp:val=&quot;00070999&quot;/&gt;&lt;wsp:rsid wsp:val=&quot;00070BFF&quot;/&gt;&lt;wsp:rsid wsp:val=&quot;00071103&quot;/&gt;&lt;wsp:rsid wsp:val=&quot;000711D8&quot;/&gt;&lt;wsp:rsid wsp:val=&quot;000714ED&quot;/&gt;&lt;wsp:rsid wsp:val=&quot;000720E9&quot;/&gt;&lt;wsp:rsid wsp:val=&quot;000720F7&quot;/&gt;&lt;wsp:rsid wsp:val=&quot;00072498&quot;/&gt;&lt;wsp:rsid wsp:val=&quot;0007305D&quot;/&gt;&lt;wsp:rsid wsp:val=&quot;00073614&quot;/&gt;&lt;wsp:rsid wsp:val=&quot;0007485D&quot;/&gt;&lt;wsp:rsid wsp:val=&quot;00074880&quot;/&gt;&lt;wsp:rsid wsp:val=&quot;00074AC2&quot;/&gt;&lt;wsp:rsid wsp:val=&quot;00074C9E&quot;/&gt;&lt;wsp:rsid wsp:val=&quot;00075029&quot;/&gt;&lt;wsp:rsid wsp:val=&quot;00075295&quot;/&gt;&lt;wsp:rsid wsp:val=&quot;00076130&quot;/&gt;&lt;wsp:rsid wsp:val=&quot;00076453&quot;/&gt;&lt;wsp:rsid wsp:val=&quot;000776E1&quot;/&gt;&lt;wsp:rsid wsp:val=&quot;000801BD&quot;/&gt;&lt;wsp:rsid wsp:val=&quot;00081134&quot;/&gt;&lt;wsp:rsid wsp:val=&quot;00081A20&quot;/&gt;&lt;wsp:rsid wsp:val=&quot;00081B37&quot;/&gt;&lt;wsp:rsid wsp:val=&quot;00082DD0&quot;/&gt;&lt;wsp:rsid wsp:val=&quot;00082DD2&quot;/&gt;&lt;wsp:rsid wsp:val=&quot;0008329A&quot;/&gt;&lt;wsp:rsid wsp:val=&quot;000838EB&quot;/&gt;&lt;wsp:rsid wsp:val=&quot;00083977&quot;/&gt;&lt;wsp:rsid wsp:val=&quot;00083F53&quot;/&gt;&lt;wsp:rsid wsp:val=&quot;00084E86&quot;/&gt;&lt;wsp:rsid wsp:val=&quot;00085C15&quot;/&gt;&lt;wsp:rsid wsp:val=&quot;00085DC6&quot;/&gt;&lt;wsp:rsid wsp:val=&quot;00087C03&quot;/&gt;&lt;wsp:rsid wsp:val=&quot;00091321&quot;/&gt;&lt;wsp:rsid wsp:val=&quot;000929D0&quot;/&gt;&lt;wsp:rsid wsp:val=&quot;00094001&quot;/&gt;&lt;wsp:rsid wsp:val=&quot;00094DA2&quot;/&gt;&lt;wsp:rsid wsp:val=&quot;00094DA5&quot;/&gt;&lt;wsp:rsid wsp:val=&quot;00095E21&quot;/&gt;&lt;wsp:rsid wsp:val=&quot;0009637C&quot;/&gt;&lt;wsp:rsid wsp:val=&quot;0009695D&quot;/&gt;&lt;wsp:rsid wsp:val=&quot;00096D8C&quot;/&gt;&lt;wsp:rsid wsp:val=&quot;00096E3D&quot;/&gt;&lt;wsp:rsid wsp:val=&quot;00097935&quot;/&gt;&lt;wsp:rsid wsp:val=&quot;00097B10&quot;/&gt;&lt;wsp:rsid wsp:val=&quot;000A0A5F&quot;/&gt;&lt;wsp:rsid wsp:val=&quot;000A2A63&quot;/&gt;&lt;wsp:rsid wsp:val=&quot;000A3732&quot;/&gt;&lt;wsp:rsid wsp:val=&quot;000A3EA4&quot;/&gt;&lt;wsp:rsid wsp:val=&quot;000A5F7D&quot;/&gt;&lt;wsp:rsid wsp:val=&quot;000A667E&quot;/&gt;&lt;wsp:rsid wsp:val=&quot;000A6FFB&quot;/&gt;&lt;wsp:rsid wsp:val=&quot;000A7A6C&quot;/&gt;&lt;wsp:rsid wsp:val=&quot;000A7F9D&quot;/&gt;&lt;wsp:rsid wsp:val=&quot;000B0561&quot;/&gt;&lt;wsp:rsid wsp:val=&quot;000B1589&quot;/&gt;&lt;wsp:rsid wsp:val=&quot;000B16B8&quot;/&gt;&lt;wsp:rsid wsp:val=&quot;000B1721&quot;/&gt;&lt;wsp:rsid wsp:val=&quot;000B18A3&quot;/&gt;&lt;wsp:rsid wsp:val=&quot;000B1F5B&quot;/&gt;&lt;wsp:rsid wsp:val=&quot;000B34EC&quot;/&gt;&lt;wsp:rsid wsp:val=&quot;000B429D&quot;/&gt;&lt;wsp:rsid wsp:val=&quot;000B4C1C&quot;/&gt;&lt;wsp:rsid wsp:val=&quot;000B4CF3&quot;/&gt;&lt;wsp:rsid wsp:val=&quot;000B51C5&quot;/&gt;&lt;wsp:rsid wsp:val=&quot;000B589D&quot;/&gt;&lt;wsp:rsid wsp:val=&quot;000B5C1F&quot;/&gt;&lt;wsp:rsid wsp:val=&quot;000B6160&quot;/&gt;&lt;wsp:rsid wsp:val=&quot;000B7313&quot;/&gt;&lt;wsp:rsid wsp:val=&quot;000B7D84&quot;/&gt;&lt;wsp:rsid wsp:val=&quot;000C08EA&quot;/&gt;&lt;wsp:rsid wsp:val=&quot;000C0C7A&quot;/&gt;&lt;wsp:rsid wsp:val=&quot;000C213C&quot;/&gt;&lt;wsp:rsid wsp:val=&quot;000C2350&quot;/&gt;&lt;wsp:rsid wsp:val=&quot;000C2847&quot;/&gt;&lt;wsp:rsid wsp:val=&quot;000C2D5A&quot;/&gt;&lt;wsp:rsid wsp:val=&quot;000C3670&quot;/&gt;&lt;wsp:rsid wsp:val=&quot;000C3DA6&quot;/&gt;&lt;wsp:rsid wsp:val=&quot;000C4336&quot;/&gt;&lt;wsp:rsid wsp:val=&quot;000C4F7C&quot;/&gt;&lt;wsp:rsid wsp:val=&quot;000C523B&quot;/&gt;&lt;wsp:rsid wsp:val=&quot;000C5BC3&quot;/&gt;&lt;wsp:rsid wsp:val=&quot;000C64DD&quot;/&gt;&lt;wsp:rsid wsp:val=&quot;000C65B7&quot;/&gt;&lt;wsp:rsid wsp:val=&quot;000C6CD0&quot;/&gt;&lt;wsp:rsid wsp:val=&quot;000C753D&quot;/&gt;&lt;wsp:rsid wsp:val=&quot;000C794D&quot;/&gt;&lt;wsp:rsid wsp:val=&quot;000C7A13&quot;/&gt;&lt;wsp:rsid wsp:val=&quot;000D09FC&quot;/&gt;&lt;wsp:rsid wsp:val=&quot;000D1626&quot;/&gt;&lt;wsp:rsid wsp:val=&quot;000D1BD3&quot;/&gt;&lt;wsp:rsid wsp:val=&quot;000D226B&quot;/&gt;&lt;wsp:rsid wsp:val=&quot;000D2BB4&quot;/&gt;&lt;wsp:rsid wsp:val=&quot;000D441F&quot;/&gt;&lt;wsp:rsid wsp:val=&quot;000D47BB&quot;/&gt;&lt;wsp:rsid wsp:val=&quot;000D58FD&quot;/&gt;&lt;wsp:rsid wsp:val=&quot;000D61F8&quot;/&gt;&lt;wsp:rsid wsp:val=&quot;000D66A0&quot;/&gt;&lt;wsp:rsid wsp:val=&quot;000D789E&quot;/&gt;&lt;wsp:rsid wsp:val=&quot;000D7D61&quot;/&gt;&lt;wsp:rsid wsp:val=&quot;000E1AB5&quot;/&gt;&lt;wsp:rsid wsp:val=&quot;000E30DD&quot;/&gt;&lt;wsp:rsid wsp:val=&quot;000E3306&quot;/&gt;&lt;wsp:rsid wsp:val=&quot;000E3557&quot;/&gt;&lt;wsp:rsid wsp:val=&quot;000E356F&quot;/&gt;&lt;wsp:rsid wsp:val=&quot;000E376A&quot;/&gt;&lt;wsp:rsid wsp:val=&quot;000E3B80&quot;/&gt;&lt;wsp:rsid wsp:val=&quot;000E3D27&quot;/&gt;&lt;wsp:rsid wsp:val=&quot;000E4F41&quot;/&gt;&lt;wsp:rsid wsp:val=&quot;000E52C9&quot;/&gt;&lt;wsp:rsid wsp:val=&quot;000E5C21&quot;/&gt;&lt;wsp:rsid wsp:val=&quot;000E5F9A&quot;/&gt;&lt;wsp:rsid wsp:val=&quot;000E610F&quot;/&gt;&lt;wsp:rsid wsp:val=&quot;000E6287&quot;/&gt;&lt;wsp:rsid wsp:val=&quot;000E660C&quot;/&gt;&lt;wsp:rsid wsp:val=&quot;000E673F&quot;/&gt;&lt;wsp:rsid wsp:val=&quot;000E6CAB&quot;/&gt;&lt;wsp:rsid wsp:val=&quot;000E73BF&quot;/&gt;&lt;wsp:rsid wsp:val=&quot;000F06DC&quot;/&gt;&lt;wsp:rsid wsp:val=&quot;000F074B&quot;/&gt;&lt;wsp:rsid wsp:val=&quot;000F0E5D&quot;/&gt;&lt;wsp:rsid wsp:val=&quot;000F1FE4&quot;/&gt;&lt;wsp:rsid wsp:val=&quot;000F2685&quot;/&gt;&lt;wsp:rsid wsp:val=&quot;000F40B9&quot;/&gt;&lt;wsp:rsid wsp:val=&quot;000F512D&quot;/&gt;&lt;wsp:rsid wsp:val=&quot;000F57A9&quot;/&gt;&lt;wsp:rsid wsp:val=&quot;000F59BD&quot;/&gt;&lt;wsp:rsid wsp:val=&quot;000F6042&quot;/&gt;&lt;wsp:rsid wsp:val=&quot;000F605B&quot;/&gt;&lt;wsp:rsid wsp:val=&quot;000F71D5&quot;/&gt;&lt;wsp:rsid wsp:val=&quot;000F7927&quot;/&gt;&lt;wsp:rsid wsp:val=&quot;000F7A34&quot;/&gt;&lt;wsp:rsid wsp:val=&quot;000F7A6B&quot;/&gt;&lt;wsp:rsid wsp:val=&quot;000F7F5A&quot;/&gt;&lt;wsp:rsid wsp:val=&quot;00101351&quot;/&gt;&lt;wsp:rsid wsp:val=&quot;001016F2&quot;/&gt;&lt;wsp:rsid wsp:val=&quot;00101C9F&quot;/&gt;&lt;wsp:rsid wsp:val=&quot;00103352&quot;/&gt;&lt;wsp:rsid wsp:val=&quot;00103729&quot;/&gt;&lt;wsp:rsid wsp:val=&quot;00103C34&quot;/&gt;&lt;wsp:rsid wsp:val=&quot;0010409A&quot;/&gt;&lt;wsp:rsid wsp:val=&quot;001048F1&quot;/&gt;&lt;wsp:rsid wsp:val=&quot;00104ED2&quot;/&gt;&lt;wsp:rsid wsp:val=&quot;0010575C&quot;/&gt;&lt;wsp:rsid wsp:val=&quot;0010579F&quot;/&gt;&lt;wsp:rsid wsp:val=&quot;00105DC3&quot;/&gt;&lt;wsp:rsid wsp:val=&quot;00105E2F&quot;/&gt;&lt;wsp:rsid wsp:val=&quot;00106B2D&quot;/&gt;&lt;wsp:rsid wsp:val=&quot;00106FD5&quot;/&gt;&lt;wsp:rsid wsp:val=&quot;00110180&quot;/&gt;&lt;wsp:rsid wsp:val=&quot;001111ED&quot;/&gt;&lt;wsp:rsid wsp:val=&quot;0011135C&quot;/&gt;&lt;wsp:rsid wsp:val=&quot;00111DAE&quot;/&gt;&lt;wsp:rsid wsp:val=&quot;0011258B&quot;/&gt;&lt;wsp:rsid wsp:val=&quot;0011280A&quot;/&gt;&lt;wsp:rsid wsp:val=&quot;0011282A&quot;/&gt;&lt;wsp:rsid wsp:val=&quot;00114389&quot;/&gt;&lt;wsp:rsid wsp:val=&quot;00114583&quot;/&gt;&lt;wsp:rsid wsp:val=&quot;00114BBA&quot;/&gt;&lt;wsp:rsid wsp:val=&quot;00115336&quot;/&gt;&lt;wsp:rsid wsp:val=&quot;00115590&quot;/&gt;&lt;wsp:rsid wsp:val=&quot;00115D22&quot;/&gt;&lt;wsp:rsid wsp:val=&quot;0011626F&quot;/&gt;&lt;wsp:rsid wsp:val=&quot;00116A1C&quot;/&gt;&lt;wsp:rsid wsp:val=&quot;00117F7A&quot;/&gt;&lt;wsp:rsid wsp:val=&quot;00120305&quot;/&gt;&lt;wsp:rsid wsp:val=&quot;00120596&quot;/&gt;&lt;wsp:rsid wsp:val=&quot;001212BE&quot;/&gt;&lt;wsp:rsid wsp:val=&quot;00121AEE&quot;/&gt;&lt;wsp:rsid wsp:val=&quot;00121B71&quot;/&gt;&lt;wsp:rsid wsp:val=&quot;00122599&quot;/&gt;&lt;wsp:rsid wsp:val=&quot;00123A45&quot;/&gt;&lt;wsp:rsid wsp:val=&quot;00123CD6&quot;/&gt;&lt;wsp:rsid wsp:val=&quot;00124692&quot;/&gt;&lt;wsp:rsid wsp:val=&quot;0012473C&quot;/&gt;&lt;wsp:rsid wsp:val=&quot;00125AC4&quot;/&gt;&lt;wsp:rsid wsp:val=&quot;00126F28&quot;/&gt;&lt;wsp:rsid wsp:val=&quot;00127091&quot;/&gt;&lt;wsp:rsid wsp:val=&quot;001303C2&quot;/&gt;&lt;wsp:rsid wsp:val=&quot;001312BA&quot;/&gt;&lt;wsp:rsid wsp:val=&quot;00131B33&quot;/&gt;&lt;wsp:rsid wsp:val=&quot;00132028&quot;/&gt;&lt;wsp:rsid wsp:val=&quot;00132666&quot;/&gt;&lt;wsp:rsid wsp:val=&quot;00133238&quot;/&gt;&lt;wsp:rsid wsp:val=&quot;00134C71&quot;/&gt;&lt;wsp:rsid wsp:val=&quot;00135A2C&quot;/&gt;&lt;wsp:rsid wsp:val=&quot;00135AA0&quot;/&gt;&lt;wsp:rsid wsp:val=&quot;00136FBD&quot;/&gt;&lt;wsp:rsid wsp:val=&quot;00137EFB&quot;/&gt;&lt;wsp:rsid wsp:val=&quot;001404FE&quot;/&gt;&lt;wsp:rsid wsp:val=&quot;00140C8D&quot;/&gt;&lt;wsp:rsid wsp:val=&quot;00141304&quot;/&gt;&lt;wsp:rsid wsp:val=&quot;0014144C&quot;/&gt;&lt;wsp:rsid wsp:val=&quot;0014185B&quot;/&gt;&lt;wsp:rsid wsp:val=&quot;0014190C&quot;/&gt;&lt;wsp:rsid wsp:val=&quot;001426B0&quot;/&gt;&lt;wsp:rsid wsp:val=&quot;001428CA&quot;/&gt;&lt;wsp:rsid wsp:val=&quot;0014310D&quot;/&gt;&lt;wsp:rsid wsp:val=&quot;00143AF5&quot;/&gt;&lt;wsp:rsid wsp:val=&quot;00143ED0&quot;/&gt;&lt;wsp:rsid wsp:val=&quot;00143FAB&quot;/&gt;&lt;wsp:rsid wsp:val=&quot;00144721&quot;/&gt;&lt;wsp:rsid wsp:val=&quot;0014596E&quot;/&gt;&lt;wsp:rsid wsp:val=&quot;00145CD3&quot;/&gt;&lt;wsp:rsid wsp:val=&quot;001474E2&quot;/&gt;&lt;wsp:rsid wsp:val=&quot;00147C82&quot;/&gt;&lt;wsp:rsid wsp:val=&quot;001517F2&quot;/&gt;&lt;wsp:rsid wsp:val=&quot;00154D07&quot;/&gt;&lt;wsp:rsid wsp:val=&quot;0015562B&quot;/&gt;&lt;wsp:rsid wsp:val=&quot;001569BE&quot;/&gt;&lt;wsp:rsid wsp:val=&quot;00156B90&quot;/&gt;&lt;wsp:rsid wsp:val=&quot;00156DB1&quot;/&gt;&lt;wsp:rsid wsp:val=&quot;00157332&quot;/&gt;&lt;wsp:rsid wsp:val=&quot;00157DB6&quot;/&gt;&lt;wsp:rsid wsp:val=&quot;001607D7&quot;/&gt;&lt;wsp:rsid wsp:val=&quot;00160B4E&quot;/&gt;&lt;wsp:rsid wsp:val=&quot;00160B64&quot;/&gt;&lt;wsp:rsid wsp:val=&quot;00160C12&quot;/&gt;&lt;wsp:rsid wsp:val=&quot;00161A77&quot;/&gt;&lt;wsp:rsid wsp:val=&quot;0016225D&quot;/&gt;&lt;wsp:rsid wsp:val=&quot;00162840&quot;/&gt;&lt;wsp:rsid wsp:val=&quot;00162EF8&quot;/&gt;&lt;wsp:rsid wsp:val=&quot;00163267&quot;/&gt;&lt;wsp:rsid wsp:val=&quot;00163FEB&quot;/&gt;&lt;wsp:rsid wsp:val=&quot;001640BF&quot;/&gt;&lt;wsp:rsid wsp:val=&quot;0016410F&quot;/&gt;&lt;wsp:rsid wsp:val=&quot;0016460D&quot;/&gt;&lt;wsp:rsid wsp:val=&quot;00164A2D&quot;/&gt;&lt;wsp:rsid wsp:val=&quot;00164C5E&quot;/&gt;&lt;wsp:rsid wsp:val=&quot;00165146&quot;/&gt;&lt;wsp:rsid wsp:val=&quot;00166E97&quot;/&gt;&lt;wsp:rsid wsp:val=&quot;00166F24&quot;/&gt;&lt;wsp:rsid wsp:val=&quot;00167A30&quot;/&gt;&lt;wsp:rsid wsp:val=&quot;00167C7B&quot;/&gt;&lt;wsp:rsid wsp:val=&quot;00167E15&quot;/&gt;&lt;wsp:rsid wsp:val=&quot;00170211&quot;/&gt;&lt;wsp:rsid wsp:val=&quot;00170230&quot;/&gt;&lt;wsp:rsid wsp:val=&quot;00170595&quot;/&gt;&lt;wsp:rsid wsp:val=&quot;00171149&quot;/&gt;&lt;wsp:rsid wsp:val=&quot;001712EF&quot;/&gt;&lt;wsp:rsid wsp:val=&quot;00171970&quot;/&gt;&lt;wsp:rsid wsp:val=&quot;00171F9C&quot;/&gt;&lt;wsp:rsid wsp:val=&quot;00172125&quot;/&gt;&lt;wsp:rsid wsp:val=&quot;00172235&quot;/&gt;&lt;wsp:rsid wsp:val=&quot;00172632&quot;/&gt;&lt;wsp:rsid wsp:val=&quot;00173021&quot;/&gt;&lt;wsp:rsid wsp:val=&quot;00174676&quot;/&gt;&lt;wsp:rsid wsp:val=&quot;00174ACB&quot;/&gt;&lt;wsp:rsid wsp:val=&quot;00175C0C&quot;/&gt;&lt;wsp:rsid wsp:val=&quot;00175D8B&quot;/&gt;&lt;wsp:rsid wsp:val=&quot;0017670E&quot;/&gt;&lt;wsp:rsid wsp:val=&quot;00176765&quot;/&gt;&lt;wsp:rsid wsp:val=&quot;001772D0&quot;/&gt;&lt;wsp:rsid wsp:val=&quot;00177C24&quot;/&gt;&lt;wsp:rsid wsp:val=&quot;00177C4F&quot;/&gt;&lt;wsp:rsid wsp:val=&quot;00177E5C&quot;/&gt;&lt;wsp:rsid wsp:val=&quot;00180353&quot;/&gt;&lt;wsp:rsid wsp:val=&quot;00181305&quot;/&gt;&lt;wsp:rsid wsp:val=&quot;00181435&quot;/&gt;&lt;wsp:rsid wsp:val=&quot;001823A4&quot;/&gt;&lt;wsp:rsid wsp:val=&quot;00182614&quot;/&gt;&lt;wsp:rsid wsp:val=&quot;00183587&quot;/&gt;&lt;wsp:rsid wsp:val=&quot;00184E4F&quot;/&gt;&lt;wsp:rsid wsp:val=&quot;00185B77&quot;/&gt;&lt;wsp:rsid wsp:val=&quot;00186290&quot;/&gt;&lt;wsp:rsid wsp:val=&quot;00186605&quot;/&gt;&lt;wsp:rsid wsp:val=&quot;00186AFE&quot;/&gt;&lt;wsp:rsid wsp:val=&quot;00187401&quot;/&gt;&lt;wsp:rsid wsp:val=&quot;00187822&quot;/&gt;&lt;wsp:rsid wsp:val=&quot;00191487&quot;/&gt;&lt;wsp:rsid wsp:val=&quot;001915F0&quot;/&gt;&lt;wsp:rsid wsp:val=&quot;0019223E&quot;/&gt;&lt;wsp:rsid wsp:val=&quot;0019278B&quot;/&gt;&lt;wsp:rsid wsp:val=&quot;00192ACD&quot;/&gt;&lt;wsp:rsid wsp:val=&quot;00193636&quot;/&gt;&lt;wsp:rsid wsp:val=&quot;00193BA7&quot;/&gt;&lt;wsp:rsid wsp:val=&quot;001942C2&quot;/&gt;&lt;wsp:rsid wsp:val=&quot;0019453D&quot;/&gt;&lt;wsp:rsid wsp:val=&quot;00194FB9&quot;/&gt;&lt;wsp:rsid wsp:val=&quot;00195356&quot;/&gt;&lt;wsp:rsid wsp:val=&quot;0019546E&quot;/&gt;&lt;wsp:rsid wsp:val=&quot;0019632A&quot;/&gt;&lt;wsp:rsid wsp:val=&quot;001977A3&quot;/&gt;&lt;wsp:rsid wsp:val=&quot;00197EA6&quot;/&gt;&lt;wsp:rsid wsp:val=&quot;001A044C&quot;/&gt;&lt;wsp:rsid wsp:val=&quot;001A12AE&quot;/&gt;&lt;wsp:rsid wsp:val=&quot;001A1633&quot;/&gt;&lt;wsp:rsid wsp:val=&quot;001A2DD8&quot;/&gt;&lt;wsp:rsid wsp:val=&quot;001A2E5A&quot;/&gt;&lt;wsp:rsid wsp:val=&quot;001A3D0C&quot;/&gt;&lt;wsp:rsid wsp:val=&quot;001A40C1&quot;/&gt;&lt;wsp:rsid wsp:val=&quot;001A49B4&quot;/&gt;&lt;wsp:rsid wsp:val=&quot;001A4BFA&quot;/&gt;&lt;wsp:rsid wsp:val=&quot;001A5312&quot;/&gt;&lt;wsp:rsid wsp:val=&quot;001A675C&quot;/&gt;&lt;wsp:rsid wsp:val=&quot;001A6956&quot;/&gt;&lt;wsp:rsid wsp:val=&quot;001A7852&quot;/&gt;&lt;wsp:rsid wsp:val=&quot;001A7CB2&quot;/&gt;&lt;wsp:rsid wsp:val=&quot;001B09D1&quot;/&gt;&lt;wsp:rsid wsp:val=&quot;001B20A7&quot;/&gt;&lt;wsp:rsid wsp:val=&quot;001B2916&quot;/&gt;&lt;wsp:rsid wsp:val=&quot;001B4A37&quot;/&gt;&lt;wsp:rsid wsp:val=&quot;001B5489&quot;/&gt;&lt;wsp:rsid wsp:val=&quot;001B5F0A&quot;/&gt;&lt;wsp:rsid wsp:val=&quot;001B6163&quot;/&gt;&lt;wsp:rsid wsp:val=&quot;001B6E49&quot;/&gt;&lt;wsp:rsid wsp:val=&quot;001B71B0&quot;/&gt;&lt;wsp:rsid wsp:val=&quot;001B7664&quot;/&gt;&lt;wsp:rsid wsp:val=&quot;001B7B3B&quot;/&gt;&lt;wsp:rsid wsp:val=&quot;001B7E72&quot;/&gt;&lt;wsp:rsid wsp:val=&quot;001C07E9&quot;/&gt;&lt;wsp:rsid wsp:val=&quot;001C134C&quot;/&gt;&lt;wsp:rsid wsp:val=&quot;001C22D7&quot;/&gt;&lt;wsp:rsid wsp:val=&quot;001C2E99&quot;/&gt;&lt;wsp:rsid wsp:val=&quot;001C3559&quot;/&gt;&lt;wsp:rsid wsp:val=&quot;001C35BF&quot;/&gt;&lt;wsp:rsid wsp:val=&quot;001C5883&quot;/&gt;&lt;wsp:rsid wsp:val=&quot;001C5FF2&quot;/&gt;&lt;wsp:rsid wsp:val=&quot;001C7BE9&quot;/&gt;&lt;wsp:rsid wsp:val=&quot;001D0CA2&quot;/&gt;&lt;wsp:rsid wsp:val=&quot;001D124A&quot;/&gt;&lt;wsp:rsid wsp:val=&quot;001D1BE6&quot;/&gt;&lt;wsp:rsid wsp:val=&quot;001D292D&quot;/&gt;&lt;wsp:rsid wsp:val=&quot;001D2C30&quot;/&gt;&lt;wsp:rsid wsp:val=&quot;001D3327&quot;/&gt;&lt;wsp:rsid wsp:val=&quot;001D3A36&quot;/&gt;&lt;wsp:rsid wsp:val=&quot;001D43BA&quot;/&gt;&lt;wsp:rsid wsp:val=&quot;001D4EBB&quot;/&gt;&lt;wsp:rsid wsp:val=&quot;001D55F9&quot;/&gt;&lt;wsp:rsid wsp:val=&quot;001D65E1&quot;/&gt;&lt;wsp:rsid wsp:val=&quot;001D6BEB&quot;/&gt;&lt;wsp:rsid wsp:val=&quot;001D7AE7&quot;/&gt;&lt;wsp:rsid wsp:val=&quot;001E1A52&quot;/&gt;&lt;wsp:rsid wsp:val=&quot;001E1D62&quot;/&gt;&lt;wsp:rsid wsp:val=&quot;001E2878&quot;/&gt;&lt;wsp:rsid wsp:val=&quot;001E2D13&quot;/&gt;&lt;wsp:rsid wsp:val=&quot;001E2FFE&quot;/&gt;&lt;wsp:rsid wsp:val=&quot;001E317E&quot;/&gt;&lt;wsp:rsid wsp:val=&quot;001E5BF3&quot;/&gt;&lt;wsp:rsid wsp:val=&quot;001E5F84&quot;/&gt;&lt;wsp:rsid wsp:val=&quot;001E5FAB&quot;/&gt;&lt;wsp:rsid wsp:val=&quot;001E6005&quot;/&gt;&lt;wsp:rsid wsp:val=&quot;001E67AE&quot;/&gt;&lt;wsp:rsid wsp:val=&quot;001E6A81&quot;/&gt;&lt;wsp:rsid wsp:val=&quot;001E77AE&quot;/&gt;&lt;wsp:rsid wsp:val=&quot;001F136A&quot;/&gt;&lt;wsp:rsid wsp:val=&quot;001F1557&quot;/&gt;&lt;wsp:rsid wsp:val=&quot;001F22FC&quot;/&gt;&lt;wsp:rsid wsp:val=&quot;001F3203&quot;/&gt;&lt;wsp:rsid wsp:val=&quot;001F4A60&quot;/&gt;&lt;wsp:rsid wsp:val=&quot;001F7451&quot;/&gt;&lt;wsp:rsid wsp:val=&quot;002016B4&quot;/&gt;&lt;wsp:rsid wsp:val=&quot;00201E79&quot;/&gt;&lt;wsp:rsid wsp:val=&quot;00201F3C&quot;/&gt;&lt;wsp:rsid wsp:val=&quot;00202FBF&quot;/&gt;&lt;wsp:rsid wsp:val=&quot;00203B78&quot;/&gt;&lt;wsp:rsid wsp:val=&quot;00203FE2&quot;/&gt;&lt;wsp:rsid wsp:val=&quot;00204921&quot;/&gt;&lt;wsp:rsid wsp:val=&quot;00204EEF&quot;/&gt;&lt;wsp:rsid wsp:val=&quot;00205656&quot;/&gt;&lt;wsp:rsid wsp:val=&quot;00205701&quot;/&gt;&lt;wsp:rsid wsp:val=&quot;00205A39&quot;/&gt;&lt;wsp:rsid wsp:val=&quot;00206086&quot;/&gt;&lt;wsp:rsid wsp:val=&quot;002064D5&quot;/&gt;&lt;wsp:rsid wsp:val=&quot;002069C0&quot;/&gt;&lt;wsp:rsid wsp:val=&quot;002075CC&quot;/&gt;&lt;wsp:rsid wsp:val=&quot;00207B4C&quot;/&gt;&lt;wsp:rsid wsp:val=&quot;00210327&quot;/&gt;&lt;wsp:rsid wsp:val=&quot;00211303&quot;/&gt;&lt;wsp:rsid wsp:val=&quot;002120D1&quot;/&gt;&lt;wsp:rsid wsp:val=&quot;00213167&quot;/&gt;&lt;wsp:rsid wsp:val=&quot;00213297&quot;/&gt;&lt;wsp:rsid wsp:val=&quot;00213559&quot;/&gt;&lt;wsp:rsid wsp:val=&quot;00213630&quot;/&gt;&lt;wsp:rsid wsp:val=&quot;002136FA&quot;/&gt;&lt;wsp:rsid wsp:val=&quot;00213FE1&quot;/&gt;&lt;wsp:rsid wsp:val=&quot;002147D6&quot;/&gt;&lt;wsp:rsid wsp:val=&quot;00214C21&quot;/&gt;&lt;wsp:rsid wsp:val=&quot;002155B1&quot;/&gt;&lt;wsp:rsid wsp:val=&quot;00215710&quot;/&gt;&lt;wsp:rsid wsp:val=&quot;00216F4C&quot;/&gt;&lt;wsp:rsid wsp:val=&quot;00217532&quot;/&gt;&lt;wsp:rsid wsp:val=&quot;00217BCB&quot;/&gt;&lt;wsp:rsid wsp:val=&quot;002205FF&quot;/&gt;&lt;wsp:rsid wsp:val=&quot;00220660&quot;/&gt;&lt;wsp:rsid wsp:val=&quot;002208BF&quot;/&gt;&lt;wsp:rsid wsp:val=&quot;00221387&quot;/&gt;&lt;wsp:rsid wsp:val=&quot;0022145A&quot;/&gt;&lt;wsp:rsid wsp:val=&quot;00223DB1&quot;/&gt;&lt;wsp:rsid wsp:val=&quot;002247E9&quot;/&gt;&lt;wsp:rsid wsp:val=&quot;002250E7&quot;/&gt;&lt;wsp:rsid wsp:val=&quot;002254F3&quot;/&gt;&lt;wsp:rsid wsp:val=&quot;00225E14&quot;/&gt;&lt;wsp:rsid wsp:val=&quot;002262D3&quot;/&gt;&lt;wsp:rsid wsp:val=&quot;00226BB7&quot;/&gt;&lt;wsp:rsid wsp:val=&quot;00226C3F&quot;/&gt;&lt;wsp:rsid wsp:val=&quot;00227BE6&quot;/&gt;&lt;wsp:rsid wsp:val=&quot;00227C67&quot;/&gt;&lt;wsp:rsid wsp:val=&quot;00227FD9&quot;/&gt;&lt;wsp:rsid wsp:val=&quot;00230124&quot;/&gt;&lt;wsp:rsid wsp:val=&quot;00230D37&quot;/&gt;&lt;wsp:rsid wsp:val=&quot;00231375&quot;/&gt;&lt;wsp:rsid wsp:val=&quot;00231FD6&quot;/&gt;&lt;wsp:rsid wsp:val=&quot;00232652&quot;/&gt;&lt;wsp:rsid wsp:val=&quot;00235701&quot;/&gt;&lt;wsp:rsid wsp:val=&quot;00235B29&quot;/&gt;&lt;wsp:rsid wsp:val=&quot;00235E51&quot;/&gt;&lt;wsp:rsid wsp:val=&quot;002360B0&quot;/&gt;&lt;wsp:rsid wsp:val=&quot;002364DC&quot;/&gt;&lt;wsp:rsid wsp:val=&quot;002367CA&quot;/&gt;&lt;wsp:rsid wsp:val=&quot;00236CD1&quot;/&gt;&lt;wsp:rsid wsp:val=&quot;00236EFE&quot;/&gt;&lt;wsp:rsid wsp:val=&quot;00237E89&quot;/&gt;&lt;wsp:rsid wsp:val=&quot;0024047F&quot;/&gt;&lt;wsp:rsid wsp:val=&quot;002404F8&quot;/&gt;&lt;wsp:rsid wsp:val=&quot;0024097F&quot;/&gt;&lt;wsp:rsid wsp:val=&quot;00240A25&quot;/&gt;&lt;wsp:rsid wsp:val=&quot;00240D22&quot;/&gt;&lt;wsp:rsid wsp:val=&quot;002411CD&quot;/&gt;&lt;wsp:rsid wsp:val=&quot;00241C81&quot;/&gt;&lt;wsp:rsid wsp:val=&quot;0024220B&quot;/&gt;&lt;wsp:rsid wsp:val=&quot;002431E0&quot;/&gt;&lt;wsp:rsid wsp:val=&quot;00243B04&quot;/&gt;&lt;wsp:rsid wsp:val=&quot;00243DD4&quot;/&gt;&lt;wsp:rsid wsp:val=&quot;00244EFC&quot;/&gt;&lt;wsp:rsid wsp:val=&quot;002459E0&quot;/&gt;&lt;wsp:rsid wsp:val=&quot;00245BCF&quot;/&gt;&lt;wsp:rsid wsp:val=&quot;00245D2A&quot;/&gt;&lt;wsp:rsid wsp:val=&quot;002460B1&quot;/&gt;&lt;wsp:rsid wsp:val=&quot;002479B9&quot;/&gt;&lt;wsp:rsid wsp:val=&quot;00250301&quot;/&gt;&lt;wsp:rsid wsp:val=&quot;002505DE&quot;/&gt;&lt;wsp:rsid wsp:val=&quot;00250F1C&quot;/&gt;&lt;wsp:rsid wsp:val=&quot;00251009&quot;/&gt;&lt;wsp:rsid wsp:val=&quot;00251CEC&quot;/&gt;&lt;wsp:rsid wsp:val=&quot;002529DD&quot;/&gt;&lt;wsp:rsid wsp:val=&quot;00252B40&quot;/&gt;&lt;wsp:rsid wsp:val=&quot;00254369&quot;/&gt;&lt;wsp:rsid wsp:val=&quot;00254A94&quot;/&gt;&lt;wsp:rsid wsp:val=&quot;002550EA&quot;/&gt;&lt;wsp:rsid wsp:val=&quot;002551B5&quot;/&gt;&lt;wsp:rsid wsp:val=&quot;00255AC4&quot;/&gt;&lt;wsp:rsid wsp:val=&quot;0025728C&quot;/&gt;&lt;wsp:rsid wsp:val=&quot;00260674&quot;/&gt;&lt;wsp:rsid wsp:val=&quot;0026198F&quot;/&gt;&lt;wsp:rsid wsp:val=&quot;0026259D&quot;/&gt;&lt;wsp:rsid wsp:val=&quot;0026362A&quot;/&gt;&lt;wsp:rsid wsp:val=&quot;00264408&quot;/&gt;&lt;wsp:rsid wsp:val=&quot;00264838&quot;/&gt;&lt;wsp:rsid wsp:val=&quot;00264C34&quot;/&gt;&lt;wsp:rsid wsp:val=&quot;0026503E&quot;/&gt;&lt;wsp:rsid wsp:val=&quot;0026564C&quot;/&gt;&lt;wsp:rsid wsp:val=&quot;00265D7A&quot;/&gt;&lt;wsp:rsid wsp:val=&quot;00265E26&quot;/&gt;&lt;wsp:rsid wsp:val=&quot;00266952&quot;/&gt;&lt;wsp:rsid wsp:val=&quot;002669CB&quot;/&gt;&lt;wsp:rsid wsp:val=&quot;00267D7C&quot;/&gt;&lt;wsp:rsid wsp:val=&quot;00267E54&quot;/&gt;&lt;wsp:rsid wsp:val=&quot;00271288&quot;/&gt;&lt;wsp:rsid wsp:val=&quot;00271B26&quot;/&gt;&lt;wsp:rsid wsp:val=&quot;00272277&quot;/&gt;&lt;wsp:rsid wsp:val=&quot;00273364&quot;/&gt;&lt;wsp:rsid wsp:val=&quot;002733CD&quot;/&gt;&lt;wsp:rsid wsp:val=&quot;0027395C&quot;/&gt;&lt;wsp:rsid wsp:val=&quot;00273AA2&quot;/&gt;&lt;wsp:rsid wsp:val=&quot;002758D7&quot;/&gt;&lt;wsp:rsid wsp:val=&quot;0027650D&quot;/&gt;&lt;wsp:rsid wsp:val=&quot;00276903&quot;/&gt;&lt;wsp:rsid wsp:val=&quot;00276BA2&quot;/&gt;&lt;wsp:rsid wsp:val=&quot;002777F6&quot;/&gt;&lt;wsp:rsid wsp:val=&quot;002800C6&quot;/&gt;&lt;wsp:rsid wsp:val=&quot;0028043C&quot;/&gt;&lt;wsp:rsid wsp:val=&quot;002804E0&quot;/&gt;&lt;wsp:rsid wsp:val=&quot;00280AB0&quot;/&gt;&lt;wsp:rsid wsp:val=&quot;00280B29&quot;/&gt;&lt;wsp:rsid wsp:val=&quot;00281281&quot;/&gt;&lt;wsp:rsid wsp:val=&quot;00281688&quot;/&gt;&lt;wsp:rsid wsp:val=&quot;002824A2&quot;/&gt;&lt;wsp:rsid wsp:val=&quot;002824B5&quot;/&gt;&lt;wsp:rsid wsp:val=&quot;0028292D&quot;/&gt;&lt;wsp:rsid wsp:val=&quot;00282ECF&quot;/&gt;&lt;wsp:rsid wsp:val=&quot;00282F01&quot;/&gt;&lt;wsp:rsid wsp:val=&quot;00283C20&quot;/&gt;&lt;wsp:rsid wsp:val=&quot;00284118&quot;/&gt;&lt;wsp:rsid wsp:val=&quot;002855C4&quot;/&gt;&lt;wsp:rsid wsp:val=&quot;00285A21&quot;/&gt;&lt;wsp:rsid wsp:val=&quot;00285FFE&quot;/&gt;&lt;wsp:rsid wsp:val=&quot;002861BA&quot;/&gt;&lt;wsp:rsid wsp:val=&quot;0028641E&quot;/&gt;&lt;wsp:rsid wsp:val=&quot;00286483&quot;/&gt;&lt;wsp:rsid wsp:val=&quot;002869D8&quot;/&gt;&lt;wsp:rsid wsp:val=&quot;00286D61&quot;/&gt;&lt;wsp:rsid wsp:val=&quot;0028746E&quot;/&gt;&lt;wsp:rsid wsp:val=&quot;0029036C&quot;/&gt;&lt;wsp:rsid wsp:val=&quot;00290A58&quot;/&gt;&lt;wsp:rsid wsp:val=&quot;00290B24&quot;/&gt;&lt;wsp:rsid wsp:val=&quot;00290C35&quot;/&gt;&lt;wsp:rsid wsp:val=&quot;00291703&quot;/&gt;&lt;wsp:rsid wsp:val=&quot;00292674&quot;/&gt;&lt;wsp:rsid wsp:val=&quot;002927E8&quot;/&gt;&lt;wsp:rsid wsp:val=&quot;00292B77&quot;/&gt;&lt;wsp:rsid wsp:val=&quot;00295651&quot;/&gt;&lt;wsp:rsid wsp:val=&quot;00295AEC&quot;/&gt;&lt;wsp:rsid wsp:val=&quot;00295F37&quot;/&gt;&lt;wsp:rsid wsp:val=&quot;0029607C&quot;/&gt;&lt;wsp:rsid wsp:val=&quot;00296B71&quot;/&gt;&lt;wsp:rsid wsp:val=&quot;00296DB3&quot;/&gt;&lt;wsp:rsid wsp:val=&quot;002975ED&quot;/&gt;&lt;wsp:rsid wsp:val=&quot;002A0715&quot;/&gt;&lt;wsp:rsid wsp:val=&quot;002A10BD&quot;/&gt;&lt;wsp:rsid wsp:val=&quot;002A1435&quot;/&gt;&lt;wsp:rsid wsp:val=&quot;002A1663&quot;/&gt;&lt;wsp:rsid wsp:val=&quot;002A2230&quot;/&gt;&lt;wsp:rsid wsp:val=&quot;002A2592&quot;/&gt;&lt;wsp:rsid wsp:val=&quot;002A2767&quot;/&gt;&lt;wsp:rsid wsp:val=&quot;002A302A&quot;/&gt;&lt;wsp:rsid wsp:val=&quot;002A37FE&quot;/&gt;&lt;wsp:rsid wsp:val=&quot;002A3F26&quot;/&gt;&lt;wsp:rsid wsp:val=&quot;002A66AB&quot;/&gt;&lt;wsp:rsid wsp:val=&quot;002A7335&quot;/&gt;&lt;wsp:rsid wsp:val=&quot;002A77C1&quot;/&gt;&lt;wsp:rsid wsp:val=&quot;002A79A3&quot;/&gt;&lt;wsp:rsid wsp:val=&quot;002A7A37&quot;/&gt;&lt;wsp:rsid wsp:val=&quot;002B092B&quot;/&gt;&lt;wsp:rsid wsp:val=&quot;002B136A&quot;/&gt;&lt;wsp:rsid wsp:val=&quot;002B1547&quot;/&gt;&lt;wsp:rsid wsp:val=&quot;002B1DA4&quot;/&gt;&lt;wsp:rsid wsp:val=&quot;002B1F53&quot;/&gt;&lt;wsp:rsid wsp:val=&quot;002B20A2&quot;/&gt;&lt;wsp:rsid wsp:val=&quot;002B2BF5&quot;/&gt;&lt;wsp:rsid wsp:val=&quot;002B3C26&quot;/&gt;&lt;wsp:rsid wsp:val=&quot;002B430E&quot;/&gt;&lt;wsp:rsid wsp:val=&quot;002B4424&quot;/&gt;&lt;wsp:rsid wsp:val=&quot;002B5E01&quot;/&gt;&lt;wsp:rsid wsp:val=&quot;002B703F&quot;/&gt;&lt;wsp:rsid wsp:val=&quot;002B718D&quot;/&gt;&lt;wsp:rsid wsp:val=&quot;002B7195&quot;/&gt;&lt;wsp:rsid wsp:val=&quot;002B7A36&quot;/&gt;&lt;wsp:rsid wsp:val=&quot;002C1026&quot;/&gt;&lt;wsp:rsid wsp:val=&quot;002C2767&quot;/&gt;&lt;wsp:rsid wsp:val=&quot;002C3429&quot;/&gt;&lt;wsp:rsid wsp:val=&quot;002C4C62&quot;/&gt;&lt;wsp:rsid wsp:val=&quot;002C4CB7&quot;/&gt;&lt;wsp:rsid wsp:val=&quot;002C551E&quot;/&gt;&lt;wsp:rsid wsp:val=&quot;002C5E0E&quot;/&gt;&lt;wsp:rsid wsp:val=&quot;002C617C&quot;/&gt;&lt;wsp:rsid wsp:val=&quot;002C69EF&quot;/&gt;&lt;wsp:rsid wsp:val=&quot;002C6A32&quot;/&gt;&lt;wsp:rsid wsp:val=&quot;002C6C47&quot;/&gt;&lt;wsp:rsid wsp:val=&quot;002D1CFD&quot;/&gt;&lt;wsp:rsid wsp:val=&quot;002D24FA&quot;/&gt;&lt;wsp:rsid wsp:val=&quot;002D2659&quot;/&gt;&lt;wsp:rsid wsp:val=&quot;002D33BE&quot;/&gt;&lt;wsp:rsid wsp:val=&quot;002D345A&quot;/&gt;&lt;wsp:rsid wsp:val=&quot;002D3635&quot;/&gt;&lt;wsp:rsid wsp:val=&quot;002D4370&quot;/&gt;&lt;wsp:rsid wsp:val=&quot;002D479C&quot;/&gt;&lt;wsp:rsid wsp:val=&quot;002D47D8&quot;/&gt;&lt;wsp:rsid wsp:val=&quot;002D5295&quot;/&gt;&lt;wsp:rsid wsp:val=&quot;002D599D&quot;/&gt;&lt;wsp:rsid wsp:val=&quot;002D72D3&quot;/&gt;&lt;wsp:rsid wsp:val=&quot;002D732F&quot;/&gt;&lt;wsp:rsid wsp:val=&quot;002D7776&quot;/&gt;&lt;wsp:rsid wsp:val=&quot;002D783E&quot;/&gt;&lt;wsp:rsid wsp:val=&quot;002E05C2&quot;/&gt;&lt;wsp:rsid wsp:val=&quot;002E0C7D&quot;/&gt;&lt;wsp:rsid wsp:val=&quot;002E0CE1&quot;/&gt;&lt;wsp:rsid wsp:val=&quot;002E0F7D&quot;/&gt;&lt;wsp:rsid wsp:val=&quot;002E23EA&quot;/&gt;&lt;wsp:rsid wsp:val=&quot;002E263E&quot;/&gt;&lt;wsp:rsid wsp:val=&quot;002E3A6A&quot;/&gt;&lt;wsp:rsid wsp:val=&quot;002E3C99&quot;/&gt;&lt;wsp:rsid wsp:val=&quot;002E3DBB&quot;/&gt;&lt;wsp:rsid wsp:val=&quot;002E52C2&quot;/&gt;&lt;wsp:rsid wsp:val=&quot;002E69F2&quot;/&gt;&lt;wsp:rsid wsp:val=&quot;002E7153&quot;/&gt;&lt;wsp:rsid wsp:val=&quot;002F00DF&quot;/&gt;&lt;wsp:rsid wsp:val=&quot;002F0C16&quot;/&gt;&lt;wsp:rsid wsp:val=&quot;002F0F96&quot;/&gt;&lt;wsp:rsid wsp:val=&quot;002F141E&quot;/&gt;&lt;wsp:rsid wsp:val=&quot;002F180C&quot;/&gt;&lt;wsp:rsid wsp:val=&quot;002F1EDD&quot;/&gt;&lt;wsp:rsid wsp:val=&quot;002F25B4&quot;/&gt;&lt;wsp:rsid wsp:val=&quot;002F3BF6&quot;/&gt;&lt;wsp:rsid wsp:val=&quot;002F3D6B&quot;/&gt;&lt;wsp:rsid wsp:val=&quot;002F41B3&quot;/&gt;&lt;wsp:rsid wsp:val=&quot;002F47DB&quot;/&gt;&lt;wsp:rsid wsp:val=&quot;002F66B7&quot;/&gt;&lt;wsp:rsid wsp:val=&quot;002F6BB0&quot;/&gt;&lt;wsp:rsid wsp:val=&quot;002F6CD9&quot;/&gt;&lt;wsp:rsid wsp:val=&quot;002F7D3B&quot;/&gt;&lt;wsp:rsid wsp:val=&quot;0030003D&quot;/&gt;&lt;wsp:rsid wsp:val=&quot;0030039D&quot;/&gt;&lt;wsp:rsid wsp:val=&quot;0030157F&quot;/&gt;&lt;wsp:rsid wsp:val=&quot;00301D28&quot;/&gt;&lt;wsp:rsid wsp:val=&quot;0030215D&quot;/&gt;&lt;wsp:rsid wsp:val=&quot;0030298D&quot;/&gt;&lt;wsp:rsid wsp:val=&quot;00302D4D&quot;/&gt;&lt;wsp:rsid wsp:val=&quot;00303253&quot;/&gt;&lt;wsp:rsid wsp:val=&quot;00303491&quot;/&gt;&lt;wsp:rsid wsp:val=&quot;00303813&quot;/&gt;&lt;wsp:rsid wsp:val=&quot;00303859&quot;/&gt;&lt;wsp:rsid wsp:val=&quot;003038BE&quot;/&gt;&lt;wsp:rsid wsp:val=&quot;00303B02&quot;/&gt;&lt;wsp:rsid wsp:val=&quot;00303FBF&quot;/&gt;&lt;wsp:rsid wsp:val=&quot;00304212&quot;/&gt;&lt;wsp:rsid wsp:val=&quot;0030448F&quot;/&gt;&lt;wsp:rsid wsp:val=&quot;00306E2B&quot;/&gt;&lt;wsp:rsid wsp:val=&quot;00307386&quot;/&gt;&lt;wsp:rsid wsp:val=&quot;00307750&quot;/&gt;&lt;wsp:rsid wsp:val=&quot;003112BE&quot;/&gt;&lt;wsp:rsid wsp:val=&quot;0031168C&quot;/&gt;&lt;wsp:rsid wsp:val=&quot;00311719&quot;/&gt;&lt;wsp:rsid wsp:val=&quot;003117B9&quot;/&gt;&lt;wsp:rsid wsp:val=&quot;003119F0&quot;/&gt;&lt;wsp:rsid wsp:val=&quot;0031290A&quot;/&gt;&lt;wsp:rsid wsp:val=&quot;00312D6E&quot;/&gt;&lt;wsp:rsid wsp:val=&quot;00313253&quot;/&gt;&lt;wsp:rsid wsp:val=&quot;00313BED&quot;/&gt;&lt;wsp:rsid wsp:val=&quot;0031415F&quot;/&gt;&lt;wsp:rsid wsp:val=&quot;003157C4&quot;/&gt;&lt;wsp:rsid wsp:val=&quot;00316465&quot;/&gt;&lt;wsp:rsid wsp:val=&quot;00316676&quot;/&gt;&lt;wsp:rsid wsp:val=&quot;00316786&quot;/&gt;&lt;wsp:rsid wsp:val=&quot;00316C4E&quot;/&gt;&lt;wsp:rsid wsp:val=&quot;0031731C&quot;/&gt;&lt;wsp:rsid wsp:val=&quot;00317320&quot;/&gt;&lt;wsp:rsid wsp:val=&quot;00317FBC&quot;/&gt;&lt;wsp:rsid wsp:val=&quot;00320197&quot;/&gt;&lt;wsp:rsid wsp:val=&quot;00320907&quot;/&gt;&lt;wsp:rsid wsp:val=&quot;00320E63&quot;/&gt;&lt;wsp:rsid wsp:val=&quot;00321F3C&quot;/&gt;&lt;wsp:rsid wsp:val=&quot;0032226D&quot;/&gt;&lt;wsp:rsid wsp:val=&quot;00322F69&quot;/&gt;&lt;wsp:rsid wsp:val=&quot;003232AD&quot;/&gt;&lt;wsp:rsid wsp:val=&quot;003243D2&quot;/&gt;&lt;wsp:rsid wsp:val=&quot;00324C9E&quot;/&gt;&lt;wsp:rsid wsp:val=&quot;00324EE1&quot;/&gt;&lt;wsp:rsid wsp:val=&quot;00325297&quot;/&gt;&lt;wsp:rsid wsp:val=&quot;00325931&quot;/&gt;&lt;wsp:rsid wsp:val=&quot;0032769B&quot;/&gt;&lt;wsp:rsid wsp:val=&quot;00327B0E&quot;/&gt;&lt;wsp:rsid wsp:val=&quot;0033005E&quot;/&gt;&lt;wsp:rsid wsp:val=&quot;00330DE8&quot;/&gt;&lt;wsp:rsid wsp:val=&quot;00330FD6&quot;/&gt;&lt;wsp:rsid wsp:val=&quot;003311B2&quot;/&gt;&lt;wsp:rsid wsp:val=&quot;00331B43&quot;/&gt;&lt;wsp:rsid wsp:val=&quot;0033347C&quot;/&gt;&lt;wsp:rsid wsp:val=&quot;003334F0&quot;/&gt;&lt;wsp:rsid wsp:val=&quot;00333812&quot;/&gt;&lt;wsp:rsid wsp:val=&quot;003338ED&quot;/&gt;&lt;wsp:rsid wsp:val=&quot;00334124&quot;/&gt;&lt;wsp:rsid wsp:val=&quot;00334E1B&quot;/&gt;&lt;wsp:rsid wsp:val=&quot;00335B7C&quot;/&gt;&lt;wsp:rsid wsp:val=&quot;00336D5F&quot;/&gt;&lt;wsp:rsid wsp:val=&quot;00336EC7&quot;/&gt;&lt;wsp:rsid wsp:val=&quot;00337F97&quot;/&gt;&lt;wsp:rsid wsp:val=&quot;00340EE5&quot;/&gt;&lt;wsp:rsid wsp:val=&quot;003418B2&quot;/&gt;&lt;wsp:rsid wsp:val=&quot;00341CC0&quot;/&gt;&lt;wsp:rsid wsp:val=&quot;00343116&quot;/&gt;&lt;wsp:rsid wsp:val=&quot;00344D0D&quot;/&gt;&lt;wsp:rsid wsp:val=&quot;00345B93&quot;/&gt;&lt;wsp:rsid wsp:val=&quot;003465A3&quot;/&gt;&lt;wsp:rsid wsp:val=&quot;00346E7C&quot;/&gt;&lt;wsp:rsid wsp:val=&quot;00346E91&quot;/&gt;&lt;wsp:rsid wsp:val=&quot;00347279&quot;/&gt;&lt;wsp:rsid wsp:val=&quot;0034794B&quot;/&gt;&lt;wsp:rsid wsp:val=&quot;00347FA4&quot;/&gt;&lt;wsp:rsid wsp:val=&quot;00347FCC&quot;/&gt;&lt;wsp:rsid wsp:val=&quot;00350AA2&quot;/&gt;&lt;wsp:rsid wsp:val=&quot;0035117D&quot;/&gt;&lt;wsp:rsid wsp:val=&quot;00351185&quot;/&gt;&lt;wsp:rsid wsp:val=&quot;003511EA&quot;/&gt;&lt;wsp:rsid wsp:val=&quot;00351364&quot;/&gt;&lt;wsp:rsid wsp:val=&quot;00352392&quot;/&gt;&lt;wsp:rsid wsp:val=&quot;0035255A&quot;/&gt;&lt;wsp:rsid wsp:val=&quot;00352A03&quot;/&gt;&lt;wsp:rsid wsp:val=&quot;00352B62&quot;/&gt;&lt;wsp:rsid wsp:val=&quot;003536E2&quot;/&gt;&lt;wsp:rsid wsp:val=&quot;003538E5&quot;/&gt;&lt;wsp:rsid wsp:val=&quot;00353C92&quot;/&gt;&lt;wsp:rsid wsp:val=&quot;00354216&quot;/&gt;&lt;wsp:rsid wsp:val=&quot;00354E3E&quot;/&gt;&lt;wsp:rsid wsp:val=&quot;00354E71&quot;/&gt;&lt;wsp:rsid wsp:val=&quot;0035523B&quot;/&gt;&lt;wsp:rsid wsp:val=&quot;00355D68&quot;/&gt;&lt;wsp:rsid wsp:val=&quot;003568CB&quot;/&gt;&lt;wsp:rsid wsp:val=&quot;00356BE5&quot;/&gt;&lt;wsp:rsid wsp:val=&quot;003572CA&quot;/&gt;&lt;wsp:rsid wsp:val=&quot;00360895&quot;/&gt;&lt;wsp:rsid wsp:val=&quot;00361134&quot;/&gt;&lt;wsp:rsid wsp:val=&quot;0036184B&quot;/&gt;&lt;wsp:rsid wsp:val=&quot;003620E5&quot;/&gt;&lt;wsp:rsid wsp:val=&quot;003622B9&quot;/&gt;&lt;wsp:rsid wsp:val=&quot;00362676&quot;/&gt;&lt;wsp:rsid wsp:val=&quot;00362B58&quot;/&gt;&lt;wsp:rsid wsp:val=&quot;0036367E&quot;/&gt;&lt;wsp:rsid wsp:val=&quot;00364747&quot;/&gt;&lt;wsp:rsid wsp:val=&quot;003649ED&quot;/&gt;&lt;wsp:rsid wsp:val=&quot;00364A33&quot;/&gt;&lt;wsp:rsid wsp:val=&quot;003659F9&quot;/&gt;&lt;wsp:rsid wsp:val=&quot;00365E38&quot;/&gt;&lt;wsp:rsid wsp:val=&quot;00366294&quot;/&gt;&lt;wsp:rsid wsp:val=&quot;003667DE&quot;/&gt;&lt;wsp:rsid wsp:val=&quot;003676AE&quot;/&gt;&lt;wsp:rsid wsp:val=&quot;00367E31&quot;/&gt;&lt;wsp:rsid wsp:val=&quot;003704CF&quot;/&gt;&lt;wsp:rsid wsp:val=&quot;00371216&quot;/&gt;&lt;wsp:rsid wsp:val=&quot;00371DB5&quot;/&gt;&lt;wsp:rsid wsp:val=&quot;00372FD7&quot;/&gt;&lt;wsp:rsid wsp:val=&quot;00373371&quot;/&gt;&lt;wsp:rsid wsp:val=&quot;003744E3&quot;/&gt;&lt;wsp:rsid wsp:val=&quot;00375692&quot;/&gt;&lt;wsp:rsid wsp:val=&quot;00375CC7&quot;/&gt;&lt;wsp:rsid wsp:val=&quot;00376039&quot;/&gt;&lt;wsp:rsid wsp:val=&quot;00376C0D&quot;/&gt;&lt;wsp:rsid wsp:val=&quot;00376C34&quot;/&gt;&lt;wsp:rsid wsp:val=&quot;003777C3&quot;/&gt;&lt;wsp:rsid wsp:val=&quot;00377A58&quot;/&gt;&lt;wsp:rsid wsp:val=&quot;00377BF7&quot;/&gt;&lt;wsp:rsid wsp:val=&quot;003801D4&quot;/&gt;&lt;wsp:rsid wsp:val=&quot;0038057B&quot;/&gt;&lt;wsp:rsid wsp:val=&quot;00380BAA&quot;/&gt;&lt;wsp:rsid wsp:val=&quot;00380EAB&quot;/&gt;&lt;wsp:rsid wsp:val=&quot;00381B3C&quot;/&gt;&lt;wsp:rsid wsp:val=&quot;00381B5C&quot;/&gt;&lt;wsp:rsid wsp:val=&quot;0038202B&quot;/&gt;&lt;wsp:rsid wsp:val=&quot;00382761&quot;/&gt;&lt;wsp:rsid wsp:val=&quot;00382BDF&quot;/&gt;&lt;wsp:rsid wsp:val=&quot;00383892&quot;/&gt;&lt;wsp:rsid wsp:val=&quot;00383E68&quot;/&gt;&lt;wsp:rsid wsp:val=&quot;00383EE3&quot;/&gt;&lt;wsp:rsid wsp:val=&quot;003847F3&quot;/&gt;&lt;wsp:rsid wsp:val=&quot;00384833&quot;/&gt;&lt;wsp:rsid wsp:val=&quot;00384924&quot;/&gt;&lt;wsp:rsid wsp:val=&quot;00385C47&quot;/&gt;&lt;wsp:rsid wsp:val=&quot;00385D52&quot;/&gt;&lt;wsp:rsid wsp:val=&quot;00385E03&quot;/&gt;&lt;wsp:rsid wsp:val=&quot;003861A2&quot;/&gt;&lt;wsp:rsid wsp:val=&quot;00386752&quot;/&gt;&lt;wsp:rsid wsp:val=&quot;00386EBD&quot;/&gt;&lt;wsp:rsid wsp:val=&quot;00391B91&quot;/&gt;&lt;wsp:rsid wsp:val=&quot;00391D40&quot;/&gt;&lt;wsp:rsid wsp:val=&quot;003920B6&quot;/&gt;&lt;wsp:rsid wsp:val=&quot;003921A5&quot;/&gt;&lt;wsp:rsid wsp:val=&quot;003926BC&quot;/&gt;&lt;wsp:rsid wsp:val=&quot;00392976&quot;/&gt;&lt;wsp:rsid wsp:val=&quot;00392B62&quot;/&gt;&lt;wsp:rsid wsp:val=&quot;00393335&quot;/&gt;&lt;wsp:rsid wsp:val=&quot;003934FC&quot;/&gt;&lt;wsp:rsid wsp:val=&quot;00393971&quot;/&gt;&lt;wsp:rsid wsp:val=&quot;003939E2&quot;/&gt;&lt;wsp:rsid wsp:val=&quot;00393DE0&quot;/&gt;&lt;wsp:rsid wsp:val=&quot;00393EF0&quot;/&gt;&lt;wsp:rsid wsp:val=&quot;0039468E&quot;/&gt;&lt;wsp:rsid wsp:val=&quot;00394C64&quot;/&gt;&lt;wsp:rsid wsp:val=&quot;00394D0F&quot;/&gt;&lt;wsp:rsid wsp:val=&quot;003950C8&quot;/&gt;&lt;wsp:rsid wsp:val=&quot;003967CF&quot;/&gt;&lt;wsp:rsid wsp:val=&quot;0039767E&quot;/&gt;&lt;wsp:rsid wsp:val=&quot;00397AB1&quot;/&gt;&lt;wsp:rsid wsp:val=&quot;003A0554&quot;/&gt;&lt;wsp:rsid wsp:val=&quot;003A0B69&quot;/&gt;&lt;wsp:rsid wsp:val=&quot;003A0C70&quot;/&gt;&lt;wsp:rsid wsp:val=&quot;003A2002&quot;/&gt;&lt;wsp:rsid wsp:val=&quot;003A205A&quot;/&gt;&lt;wsp:rsid wsp:val=&quot;003A26CF&quot;/&gt;&lt;wsp:rsid wsp:val=&quot;003A27CB&quot;/&gt;&lt;wsp:rsid wsp:val=&quot;003A3A83&quot;/&gt;&lt;wsp:rsid wsp:val=&quot;003A3B56&quot;/&gt;&lt;wsp:rsid wsp:val=&quot;003A3F37&quot;/&gt;&lt;wsp:rsid wsp:val=&quot;003A476D&quot;/&gt;&lt;wsp:rsid wsp:val=&quot;003A4FC5&quot;/&gt;&lt;wsp:rsid wsp:val=&quot;003A500C&quot;/&gt;&lt;wsp:rsid wsp:val=&quot;003A5F48&quot;/&gt;&lt;wsp:rsid wsp:val=&quot;003A5FBA&quot;/&gt;&lt;wsp:rsid wsp:val=&quot;003A79D0&quot;/&gt;&lt;wsp:rsid wsp:val=&quot;003B0854&quot;/&gt;&lt;wsp:rsid wsp:val=&quot;003B0BF8&quot;/&gt;&lt;wsp:rsid wsp:val=&quot;003B0F46&quot;/&gt;&lt;wsp:rsid wsp:val=&quot;003B2E90&quot;/&gt;&lt;wsp:rsid wsp:val=&quot;003B3BF6&quot;/&gt;&lt;wsp:rsid wsp:val=&quot;003B3E27&quot;/&gt;&lt;wsp:rsid wsp:val=&quot;003B51C1&quot;/&gt;&lt;wsp:rsid wsp:val=&quot;003B5E95&quot;/&gt;&lt;wsp:rsid wsp:val=&quot;003B6066&quot;/&gt;&lt;wsp:rsid wsp:val=&quot;003B667E&quot;/&gt;&lt;wsp:rsid wsp:val=&quot;003B7692&quot;/&gt;&lt;wsp:rsid wsp:val=&quot;003C063B&quot;/&gt;&lt;wsp:rsid wsp:val=&quot;003C07AE&quot;/&gt;&lt;wsp:rsid wsp:val=&quot;003C18B6&quot;/&gt;&lt;wsp:rsid wsp:val=&quot;003C1971&quot;/&gt;&lt;wsp:rsid wsp:val=&quot;003C26D4&quot;/&gt;&lt;wsp:rsid wsp:val=&quot;003C3168&quot;/&gt;&lt;wsp:rsid wsp:val=&quot;003C3A42&quot;/&gt;&lt;wsp:rsid wsp:val=&quot;003C42D6&quot;/&gt;&lt;wsp:rsid wsp:val=&quot;003C532F&quot;/&gt;&lt;wsp:rsid wsp:val=&quot;003C7462&quot;/&gt;&lt;wsp:rsid wsp:val=&quot;003C7BE6&quot;/&gt;&lt;wsp:rsid wsp:val=&quot;003D0DD7&quot;/&gt;&lt;wsp:rsid wsp:val=&quot;003D14E9&quot;/&gt;&lt;wsp:rsid wsp:val=&quot;003D19CE&quot;/&gt;&lt;wsp:rsid wsp:val=&quot;003D1BAD&quot;/&gt;&lt;wsp:rsid wsp:val=&quot;003D1BD8&quot;/&gt;&lt;wsp:rsid wsp:val=&quot;003D1C29&quot;/&gt;&lt;wsp:rsid wsp:val=&quot;003D26DB&quot;/&gt;&lt;wsp:rsid wsp:val=&quot;003D305E&quot;/&gt;&lt;wsp:rsid wsp:val=&quot;003D3197&quot;/&gt;&lt;wsp:rsid wsp:val=&quot;003D36CA&quot;/&gt;&lt;wsp:rsid wsp:val=&quot;003D39F2&quot;/&gt;&lt;wsp:rsid wsp:val=&quot;003D3CD0&quot;/&gt;&lt;wsp:rsid wsp:val=&quot;003D3EAA&quot;/&gt;&lt;wsp:rsid wsp:val=&quot;003D519F&quot;/&gt;&lt;wsp:rsid wsp:val=&quot;003D526F&quot;/&gt;&lt;wsp:rsid wsp:val=&quot;003D5CB0&quot;/&gt;&lt;wsp:rsid wsp:val=&quot;003D6C14&quot;/&gt;&lt;wsp:rsid wsp:val=&quot;003D72B1&quot;/&gt;&lt;wsp:rsid wsp:val=&quot;003E021E&quot;/&gt;&lt;wsp:rsid wsp:val=&quot;003E0B41&quot;/&gt;&lt;wsp:rsid wsp:val=&quot;003E0E5D&quot;/&gt;&lt;wsp:rsid wsp:val=&quot;003E0E8F&quot;/&gt;&lt;wsp:rsid wsp:val=&quot;003E1AB4&quot;/&gt;&lt;wsp:rsid wsp:val=&quot;003E2948&quot;/&gt;&lt;wsp:rsid wsp:val=&quot;003E2D21&quot;/&gt;&lt;wsp:rsid wsp:val=&quot;003E3056&quot;/&gt;&lt;wsp:rsid wsp:val=&quot;003E3552&quot;/&gt;&lt;wsp:rsid wsp:val=&quot;003E3B68&quot;/&gt;&lt;wsp:rsid wsp:val=&quot;003E48D1&quot;/&gt;&lt;wsp:rsid wsp:val=&quot;003E4DC0&quot;/&gt;&lt;wsp:rsid wsp:val=&quot;003E5008&quot;/&gt;&lt;wsp:rsid wsp:val=&quot;003E55D0&quot;/&gt;&lt;wsp:rsid wsp:val=&quot;003E671A&quot;/&gt;&lt;wsp:rsid wsp:val=&quot;003E7043&quot;/&gt;&lt;wsp:rsid wsp:val=&quot;003E7B7F&quot;/&gt;&lt;wsp:rsid wsp:val=&quot;003F0204&quot;/&gt;&lt;wsp:rsid wsp:val=&quot;003F0309&quot;/&gt;&lt;wsp:rsid wsp:val=&quot;003F13F0&quot;/&gt;&lt;wsp:rsid wsp:val=&quot;003F1D21&quot;/&gt;&lt;wsp:rsid wsp:val=&quot;003F1D63&quot;/&gt;&lt;wsp:rsid wsp:val=&quot;003F388E&quot;/&gt;&lt;wsp:rsid wsp:val=&quot;003F3AF2&quot;/&gt;&lt;wsp:rsid wsp:val=&quot;003F4662&quot;/&gt;&lt;wsp:rsid wsp:val=&quot;003F4D28&quot;/&gt;&lt;wsp:rsid wsp:val=&quot;003F4E20&quot;/&gt;&lt;wsp:rsid wsp:val=&quot;003F5D37&quot;/&gt;&lt;wsp:rsid wsp:val=&quot;003F64DA&quot;/&gt;&lt;wsp:rsid wsp:val=&quot;003F7AA2&quot;/&gt;&lt;wsp:rsid wsp:val=&quot;003F7D2C&quot;/&gt;&lt;wsp:rsid wsp:val=&quot;00400404&quot;/&gt;&lt;wsp:rsid wsp:val=&quot;004012FF&quot;/&gt;&lt;wsp:rsid wsp:val=&quot;00401481&quot;/&gt;&lt;wsp:rsid wsp:val=&quot;004027FA&quot;/&gt;&lt;wsp:rsid wsp:val=&quot;00402C66&quot;/&gt;&lt;wsp:rsid wsp:val=&quot;00403686&quot;/&gt;&lt;wsp:rsid wsp:val=&quot;00403CAA&quot;/&gt;&lt;wsp:rsid wsp:val=&quot;00404B7E&quot;/&gt;&lt;wsp:rsid wsp:val=&quot;00405233&quot;/&gt;&lt;wsp:rsid wsp:val=&quot;00405A03&quot;/&gt;&lt;wsp:rsid wsp:val=&quot;00405CB8&quot;/&gt;&lt;wsp:rsid wsp:val=&quot;0040641A&quot;/&gt;&lt;wsp:rsid wsp:val=&quot;004072CB&quot;/&gt;&lt;wsp:rsid wsp:val=&quot;0040745E&quot;/&gt;&lt;wsp:rsid wsp:val=&quot;00407C06&quot;/&gt;&lt;wsp:rsid wsp:val=&quot;0041007A&quot;/&gt;&lt;wsp:rsid wsp:val=&quot;00410B0A&quot;/&gt;&lt;wsp:rsid wsp:val=&quot;00410D07&quot;/&gt;&lt;wsp:rsid wsp:val=&quot;004111D7&quot;/&gt;&lt;wsp:rsid wsp:val=&quot;00411421&quot;/&gt;&lt;wsp:rsid wsp:val=&quot;0041143B&quot;/&gt;&lt;wsp:rsid wsp:val=&quot;00411A8A&quot;/&gt;&lt;wsp:rsid wsp:val=&quot;00411F22&quot;/&gt;&lt;wsp:rsid wsp:val=&quot;004124BF&quot;/&gt;&lt;wsp:rsid wsp:val=&quot;00412611&quot;/&gt;&lt;wsp:rsid wsp:val=&quot;00412FF9&quot;/&gt;&lt;wsp:rsid wsp:val=&quot;004133EE&quot;/&gt;&lt;wsp:rsid wsp:val=&quot;00413A21&quot;/&gt;&lt;wsp:rsid wsp:val=&quot;00414937&quot;/&gt;&lt;wsp:rsid wsp:val=&quot;00414E87&quot;/&gt;&lt;wsp:rsid wsp:val=&quot;0041502A&quot;/&gt;&lt;wsp:rsid wsp:val=&quot;00415610&quot;/&gt;&lt;wsp:rsid wsp:val=&quot;004160BB&quot;/&gt;&lt;wsp:rsid wsp:val=&quot;004167E0&quot;/&gt;&lt;wsp:rsid wsp:val=&quot;00417120&quot;/&gt;&lt;wsp:rsid wsp:val=&quot;00420686&quot;/&gt;&lt;wsp:rsid wsp:val=&quot;00420C9B&quot;/&gt;&lt;wsp:rsid wsp:val=&quot;00420EFE&quot;/&gt;&lt;wsp:rsid wsp:val=&quot;00421B27&quot;/&gt;&lt;wsp:rsid wsp:val=&quot;0042347B&quot;/&gt;&lt;wsp:rsid wsp:val=&quot;004243C3&quot;/&gt;&lt;wsp:rsid wsp:val=&quot;00424608&quot;/&gt;&lt;wsp:rsid wsp:val=&quot;00425007&quot;/&gt;&lt;wsp:rsid wsp:val=&quot;004256BE&quot;/&gt;&lt;wsp:rsid wsp:val=&quot;004257F3&quot;/&gt;&lt;wsp:rsid wsp:val=&quot;00426B8A&quot;/&gt;&lt;wsp:rsid wsp:val=&quot;00426D0B&quot;/&gt;&lt;wsp:rsid wsp:val=&quot;0042751C&quot;/&gt;&lt;wsp:rsid wsp:val=&quot;00427AC4&quot;/&gt;&lt;wsp:rsid wsp:val=&quot;004305CB&quot;/&gt;&lt;wsp:rsid wsp:val=&quot;004313CA&quot;/&gt;&lt;wsp:rsid wsp:val=&quot;00432386&quot;/&gt;&lt;wsp:rsid wsp:val=&quot;00432D72&quot;/&gt;&lt;wsp:rsid wsp:val=&quot;004331B6&quot;/&gt;&lt;wsp:rsid wsp:val=&quot;004346BD&quot;/&gt;&lt;wsp:rsid wsp:val=&quot;00435001&quot;/&gt;&lt;wsp:rsid wsp:val=&quot;0043611E&quot;/&gt;&lt;wsp:rsid wsp:val=&quot;0043619A&quot;/&gt;&lt;wsp:rsid wsp:val=&quot;004364D5&quot;/&gt;&lt;wsp:rsid wsp:val=&quot;00437354&quot;/&gt;&lt;wsp:rsid wsp:val=&quot;004379D5&quot;/&gt;&lt;wsp:rsid wsp:val=&quot;00440009&quot;/&gt;&lt;wsp:rsid wsp:val=&quot;00441B30&quot;/&gt;&lt;wsp:rsid wsp:val=&quot;00441FED&quot;/&gt;&lt;wsp:rsid wsp:val=&quot;00442034&quot;/&gt;&lt;wsp:rsid wsp:val=&quot;00442460&quot;/&gt;&lt;wsp:rsid wsp:val=&quot;00442542&quot;/&gt;&lt;wsp:rsid wsp:val=&quot;00443F2C&quot;/&gt;&lt;wsp:rsid wsp:val=&quot;00444B56&quot;/&gt;&lt;wsp:rsid wsp:val=&quot;00445007&quot;/&gt;&lt;wsp:rsid wsp:val=&quot;004463EA&quot;/&gt;&lt;wsp:rsid wsp:val=&quot;00446EFB&quot;/&gt;&lt;wsp:rsid wsp:val=&quot;00447E0D&quot;/&gt;&lt;wsp:rsid wsp:val=&quot;004504CD&quot;/&gt;&lt;wsp:rsid wsp:val=&quot;00450801&quot;/&gt;&lt;wsp:rsid wsp:val=&quot;00451316&quot;/&gt;&lt;wsp:rsid wsp:val=&quot;00451711&quot;/&gt;&lt;wsp:rsid wsp:val=&quot;00451BBC&quot;/&gt;&lt;wsp:rsid wsp:val=&quot;00452D88&quot;/&gt;&lt;wsp:rsid wsp:val=&quot;004536B6&quot;/&gt;&lt;wsp:rsid wsp:val=&quot;00453899&quot;/&gt;&lt;wsp:rsid wsp:val=&quot;00453E9C&quot;/&gt;&lt;wsp:rsid wsp:val=&quot;0045437D&quot;/&gt;&lt;wsp:rsid wsp:val=&quot;0045450D&quot;/&gt;&lt;wsp:rsid wsp:val=&quot;0045507E&quot;/&gt;&lt;wsp:rsid wsp:val=&quot;00455233&quot;/&gt;&lt;wsp:rsid wsp:val=&quot;004556CC&quot;/&gt;&lt;wsp:rsid wsp:val=&quot;00456EE3&quot;/&gt;&lt;wsp:rsid wsp:val=&quot;0045701C&quot;/&gt;&lt;wsp:rsid wsp:val=&quot;00460C00&quot;/&gt;&lt;wsp:rsid wsp:val=&quot;00460CF7&quot;/&gt;&lt;wsp:rsid wsp:val=&quot;00460D59&quot;/&gt;&lt;wsp:rsid wsp:val=&quot;004613FC&quot;/&gt;&lt;wsp:rsid wsp:val=&quot;00461A2B&quot;/&gt;&lt;wsp:rsid wsp:val=&quot;00461A44&quot;/&gt;&lt;wsp:rsid wsp:val=&quot;004621AC&quot;/&gt;&lt;wsp:rsid wsp:val=&quot;00462666&quot;/&gt;&lt;wsp:rsid wsp:val=&quot;00462B7F&quot;/&gt;&lt;wsp:rsid wsp:val=&quot;004631B0&quot;/&gt;&lt;wsp:rsid wsp:val=&quot;00466A46&quot;/&gt;&lt;wsp:rsid wsp:val=&quot;00466B2D&quot;/&gt;&lt;wsp:rsid wsp:val=&quot;00466F17&quot;/&gt;&lt;wsp:rsid wsp:val=&quot;004673D1&quot;/&gt;&lt;wsp:rsid wsp:val=&quot;00467973&quot;/&gt;&lt;wsp:rsid wsp:val=&quot;004703F3&quot;/&gt;&lt;wsp:rsid wsp:val=&quot;004727D9&quot;/&gt;&lt;wsp:rsid wsp:val=&quot;00473816&quot;/&gt;&lt;wsp:rsid wsp:val=&quot;00474A34&quot;/&gt;&lt;wsp:rsid wsp:val=&quot;00474BDD&quot;/&gt;&lt;wsp:rsid wsp:val=&quot;00474E48&quot;/&gt;&lt;wsp:rsid wsp:val=&quot;00475D30&quot;/&gt;&lt;wsp:rsid wsp:val=&quot;004770CF&quot;/&gt;&lt;wsp:rsid wsp:val=&quot;00480156&quot;/&gt;&lt;wsp:rsid wsp:val=&quot;00481396&quot;/&gt;&lt;wsp:rsid wsp:val=&quot;0048140F&quot;/&gt;&lt;wsp:rsid wsp:val=&quot;004816A5&quot;/&gt;&lt;wsp:rsid wsp:val=&quot;00481A91&quot;/&gt;&lt;wsp:rsid wsp:val=&quot;004822EF&quot;/&gt;&lt;wsp:rsid wsp:val=&quot;00482D5D&quot;/&gt;&lt;wsp:rsid wsp:val=&quot;004837E6&quot;/&gt;&lt;wsp:rsid wsp:val=&quot;00484094&quot;/&gt;&lt;wsp:rsid wsp:val=&quot;0048443B&quot;/&gt;&lt;wsp:rsid wsp:val=&quot;004855FE&quot;/&gt;&lt;wsp:rsid wsp:val=&quot;00487D2D&quot;/&gt;&lt;wsp:rsid wsp:val=&quot;00490766&quot;/&gt;&lt;wsp:rsid wsp:val=&quot;00490EB4&quot;/&gt;&lt;wsp:rsid wsp:val=&quot;00491714&quot;/&gt;&lt;wsp:rsid wsp:val=&quot;00491DF7&quot;/&gt;&lt;wsp:rsid wsp:val=&quot;00492838&quot;/&gt;&lt;wsp:rsid wsp:val=&quot;004938C1&quot;/&gt;&lt;wsp:rsid wsp:val=&quot;004940B3&quot;/&gt;&lt;wsp:rsid wsp:val=&quot;00494E00&quot;/&gt;&lt;wsp:rsid wsp:val=&quot;00494FD1&quot;/&gt;&lt;wsp:rsid wsp:val=&quot;00495BF7&quot;/&gt;&lt;wsp:rsid wsp:val=&quot;00495E77&quot;/&gt;&lt;wsp:rsid wsp:val=&quot;00496D64&quot;/&gt;&lt;wsp:rsid wsp:val=&quot;00497358&quot;/&gt;&lt;wsp:rsid wsp:val=&quot;00497E3B&quot;/&gt;&lt;wsp:rsid wsp:val=&quot;004A0358&quot;/&gt;&lt;wsp:rsid wsp:val=&quot;004A043F&quot;/&gt;&lt;wsp:rsid wsp:val=&quot;004A0742&quot;/&gt;&lt;wsp:rsid wsp:val=&quot;004A1EFE&quot;/&gt;&lt;wsp:rsid wsp:val=&quot;004A3550&quot;/&gt;&lt;wsp:rsid wsp:val=&quot;004A3D64&quot;/&gt;&lt;wsp:rsid wsp:val=&quot;004A4479&quot;/&gt;&lt;wsp:rsid wsp:val=&quot;004A45C2&quot;/&gt;&lt;wsp:rsid wsp:val=&quot;004A49E8&quot;/&gt;&lt;wsp:rsid wsp:val=&quot;004A4BB4&quot;/&gt;&lt;wsp:rsid wsp:val=&quot;004A4DB0&quot;/&gt;&lt;wsp:rsid wsp:val=&quot;004A4E31&quot;/&gt;&lt;wsp:rsid wsp:val=&quot;004A5E9B&quot;/&gt;&lt;wsp:rsid wsp:val=&quot;004A6958&quot;/&gt;&lt;wsp:rsid wsp:val=&quot;004A7536&quot;/&gt;&lt;wsp:rsid wsp:val=&quot;004A7B02&quot;/&gt;&lt;wsp:rsid wsp:val=&quot;004A7F70&quot;/&gt;&lt;wsp:rsid wsp:val=&quot;004B00D5&quot;/&gt;&lt;wsp:rsid wsp:val=&quot;004B01D4&quot;/&gt;&lt;wsp:rsid wsp:val=&quot;004B0575&quot;/&gt;&lt;wsp:rsid wsp:val=&quot;004B0638&quot;/&gt;&lt;wsp:rsid wsp:val=&quot;004B0A9F&quot;/&gt;&lt;wsp:rsid wsp:val=&quot;004B145E&quot;/&gt;&lt;wsp:rsid wsp:val=&quot;004B1E5F&quot;/&gt;&lt;wsp:rsid wsp:val=&quot;004B246B&quot;/&gt;&lt;wsp:rsid wsp:val=&quot;004B2580&quot;/&gt;&lt;wsp:rsid wsp:val=&quot;004B2798&quot;/&gt;&lt;wsp:rsid wsp:val=&quot;004B2AE3&quot;/&gt;&lt;wsp:rsid wsp:val=&quot;004B2BD7&quot;/&gt;&lt;wsp:rsid wsp:val=&quot;004B2D2A&quot;/&gt;&lt;wsp:rsid wsp:val=&quot;004B37F0&quot;/&gt;&lt;wsp:rsid wsp:val=&quot;004B3C05&quot;/&gt;&lt;wsp:rsid wsp:val=&quot;004B41AE&quot;/&gt;&lt;wsp:rsid wsp:val=&quot;004B4DA5&quot;/&gt;&lt;wsp:rsid wsp:val=&quot;004B50DA&quot;/&gt;&lt;wsp:rsid wsp:val=&quot;004B5E2D&quot;/&gt;&lt;wsp:rsid wsp:val=&quot;004B7141&quot;/&gt;&lt;wsp:rsid wsp:val=&quot;004B71E5&quot;/&gt;&lt;wsp:rsid wsp:val=&quot;004B75A7&quot;/&gt;&lt;wsp:rsid wsp:val=&quot;004B7A6D&quot;/&gt;&lt;wsp:rsid wsp:val=&quot;004B7DC9&quot;/&gt;&lt;wsp:rsid wsp:val=&quot;004B7FBC&quot;/&gt;&lt;wsp:rsid wsp:val=&quot;004C0B30&quot;/&gt;&lt;wsp:rsid wsp:val=&quot;004C16A6&quot;/&gt;&lt;wsp:rsid wsp:val=&quot;004C2853&quot;/&gt;&lt;wsp:rsid wsp:val=&quot;004C2AC8&quot;/&gt;&lt;wsp:rsid wsp:val=&quot;004C2ECC&quot;/&gt;&lt;wsp:rsid wsp:val=&quot;004C30A8&quot;/&gt;&lt;wsp:rsid wsp:val=&quot;004C40CA&quot;/&gt;&lt;wsp:rsid wsp:val=&quot;004C41E3&quot;/&gt;&lt;wsp:rsid wsp:val=&quot;004C47C1&quot;/&gt;&lt;wsp:rsid wsp:val=&quot;004C61B1&quot;/&gt;&lt;wsp:rsid wsp:val=&quot;004C6856&quot;/&gt;&lt;wsp:rsid wsp:val=&quot;004C6D76&quot;/&gt;&lt;wsp:rsid wsp:val=&quot;004C70E0&quot;/&gt;&lt;wsp:rsid wsp:val=&quot;004C797A&quot;/&gt;&lt;wsp:rsid wsp:val=&quot;004D1202&quot;/&gt;&lt;wsp:rsid wsp:val=&quot;004D198A&quot;/&gt;&lt;wsp:rsid wsp:val=&quot;004D22F4&quot;/&gt;&lt;wsp:rsid wsp:val=&quot;004D4466&quot;/&gt;&lt;wsp:rsid wsp:val=&quot;004D5765&quot;/&gt;&lt;wsp:rsid wsp:val=&quot;004D588F&quot;/&gt;&lt;wsp:rsid wsp:val=&quot;004D6D21&quot;/&gt;&lt;wsp:rsid wsp:val=&quot;004D7C72&quot;/&gt;&lt;wsp:rsid wsp:val=&quot;004E016C&quot;/&gt;&lt;wsp:rsid wsp:val=&quot;004E0815&quot;/&gt;&lt;wsp:rsid wsp:val=&quot;004E180C&quot;/&gt;&lt;wsp:rsid wsp:val=&quot;004E318D&quot;/&gt;&lt;wsp:rsid wsp:val=&quot;004E3E7D&quot;/&gt;&lt;wsp:rsid wsp:val=&quot;004E517F&quot;/&gt;&lt;wsp:rsid wsp:val=&quot;004E5239&quot;/&gt;&lt;wsp:rsid wsp:val=&quot;004E5776&quot;/&gt;&lt;wsp:rsid wsp:val=&quot;004E5B2B&quot;/&gt;&lt;wsp:rsid wsp:val=&quot;004E5CDD&quot;/&gt;&lt;wsp:rsid wsp:val=&quot;004E5DC4&quot;/&gt;&lt;wsp:rsid wsp:val=&quot;004E5ED8&quot;/&gt;&lt;wsp:rsid wsp:val=&quot;004E5F51&quot;/&gt;&lt;wsp:rsid wsp:val=&quot;004E656B&quot;/&gt;&lt;wsp:rsid wsp:val=&quot;004E71EA&quot;/&gt;&lt;wsp:rsid wsp:val=&quot;004E76AD&quot;/&gt;&lt;wsp:rsid wsp:val=&quot;004E7D96&quot;/&gt;&lt;wsp:rsid wsp:val=&quot;004F17D2&quot;/&gt;&lt;wsp:rsid wsp:val=&quot;004F347D&quot;/&gt;&lt;wsp:rsid wsp:val=&quot;004F3A3F&quot;/&gt;&lt;wsp:rsid wsp:val=&quot;004F3C7A&quot;/&gt;&lt;wsp:rsid wsp:val=&quot;004F3F61&quot;/&gt;&lt;wsp:rsid wsp:val=&quot;004F4A00&quot;/&gt;&lt;wsp:rsid wsp:val=&quot;004F5097&quot;/&gt;&lt;wsp:rsid wsp:val=&quot;004F5596&quot;/&gt;&lt;wsp:rsid wsp:val=&quot;004F5B4C&quot;/&gt;&lt;wsp:rsid wsp:val=&quot;004F5D90&quot;/&gt;&lt;wsp:rsid wsp:val=&quot;004F61CB&quot;/&gt;&lt;wsp:rsid wsp:val=&quot;004F6684&quot;/&gt;&lt;wsp:rsid wsp:val=&quot;004F6C66&quot;/&gt;&lt;wsp:rsid wsp:val=&quot;004F7851&quot;/&gt;&lt;wsp:rsid wsp:val=&quot;004F7EC3&quot;/&gt;&lt;wsp:rsid wsp:val=&quot;005011DA&quot;/&gt;&lt;wsp:rsid wsp:val=&quot;00501275&quot;/&gt;&lt;wsp:rsid wsp:val=&quot;00501297&quot;/&gt;&lt;wsp:rsid wsp:val=&quot;005015A7&quot;/&gt;&lt;wsp:rsid wsp:val=&quot;005019AE&quot;/&gt;&lt;wsp:rsid wsp:val=&quot;0050246A&quot;/&gt;&lt;wsp:rsid wsp:val=&quot;00502BBE&quot;/&gt;&lt;wsp:rsid wsp:val=&quot;00503121&quot;/&gt;&lt;wsp:rsid wsp:val=&quot;005031C0&quot;/&gt;&lt;wsp:rsid wsp:val=&quot;005035FD&quot;/&gt;&lt;wsp:rsid wsp:val=&quot;00503760&quot;/&gt;&lt;wsp:rsid wsp:val=&quot;005048A8&quot;/&gt;&lt;wsp:rsid wsp:val=&quot;00505573&quot;/&gt;&lt;wsp:rsid wsp:val=&quot;005055D0&quot;/&gt;&lt;wsp:rsid wsp:val=&quot;00505C7A&quot;/&gt;&lt;wsp:rsid wsp:val=&quot;00510E62&quot;/&gt;&lt;wsp:rsid wsp:val=&quot;00511C7E&quot;/&gt;&lt;wsp:rsid wsp:val=&quot;005133A8&quot;/&gt;&lt;wsp:rsid wsp:val=&quot;00513932&quot;/&gt;&lt;wsp:rsid wsp:val=&quot;0051413A&quot;/&gt;&lt;wsp:rsid wsp:val=&quot;0051488A&quot;/&gt;&lt;wsp:rsid wsp:val=&quot;0051499A&quot;/&gt;&lt;wsp:rsid wsp:val=&quot;00514BD0&quot;/&gt;&lt;wsp:rsid wsp:val=&quot;00514EE4&quot;/&gt;&lt;wsp:rsid wsp:val=&quot;0051514F&quot;/&gt;&lt;wsp:rsid wsp:val=&quot;00515BE4&quot;/&gt;&lt;wsp:rsid wsp:val=&quot;0051636E&quot;/&gt;&lt;wsp:rsid wsp:val=&quot;00517581&quot;/&gt;&lt;wsp:rsid wsp:val=&quot;005178C7&quot;/&gt;&lt;wsp:rsid wsp:val=&quot;00517D74&quot;/&gt;&lt;wsp:rsid wsp:val=&quot;005209C6&quot;/&gt;&lt;wsp:rsid wsp:val=&quot;00520B3A&quot;/&gt;&lt;wsp:rsid wsp:val=&quot;005233B9&quot;/&gt;&lt;wsp:rsid wsp:val=&quot;0052361A&quot;/&gt;&lt;wsp:rsid wsp:val=&quot;00523824&quot;/&gt;&lt;wsp:rsid wsp:val=&quot;00523F16&quot;/&gt;&lt;wsp:rsid wsp:val=&quot;00524CD6&quot;/&gt;&lt;wsp:rsid wsp:val=&quot;00525930&quot;/&gt;&lt;wsp:rsid wsp:val=&quot;00525C2B&quot;/&gt;&lt;wsp:rsid wsp:val=&quot;00525CE5&quot;/&gt;&lt;wsp:rsid wsp:val=&quot;00525F91&quot;/&gt;&lt;wsp:rsid wsp:val=&quot;00527A9A&quot;/&gt;&lt;wsp:rsid wsp:val=&quot;0053143E&quot;/&gt;&lt;wsp:rsid wsp:val=&quot;00531DBA&quot;/&gt;&lt;wsp:rsid wsp:val=&quot;00532687&quot;/&gt;&lt;wsp:rsid wsp:val=&quot;005339C7&quot;/&gt;&lt;wsp:rsid wsp:val=&quot;005351DA&quot;/&gt;&lt;wsp:rsid wsp:val=&quot;00535DB3&quot;/&gt;&lt;wsp:rsid wsp:val=&quot;00537599&quot;/&gt;&lt;wsp:rsid wsp:val=&quot;0053793B&quot;/&gt;&lt;wsp:rsid wsp:val=&quot;00537988&quot;/&gt;&lt;wsp:rsid wsp:val=&quot;005408AF&quot;/&gt;&lt;wsp:rsid wsp:val=&quot;00540EBC&quot;/&gt;&lt;wsp:rsid wsp:val=&quot;00540F47&quot;/&gt;&lt;wsp:rsid wsp:val=&quot;005413FD&quot;/&gt;&lt;wsp:rsid wsp:val=&quot;00541408&quot;/&gt;&lt;wsp:rsid wsp:val=&quot;00542104&quot;/&gt;&lt;wsp:rsid wsp:val=&quot;005436CB&quot;/&gt;&lt;wsp:rsid wsp:val=&quot;00546EDC&quot;/&gt;&lt;wsp:rsid wsp:val=&quot;00547224&quot;/&gt;&lt;wsp:rsid wsp:val=&quot;005510C1&quot;/&gt;&lt;wsp:rsid wsp:val=&quot;00551849&quot;/&gt;&lt;wsp:rsid wsp:val=&quot;005523A7&quot;/&gt;&lt;wsp:rsid wsp:val=&quot;0055252D&quot;/&gt;&lt;wsp:rsid wsp:val=&quot;00552EF9&quot;/&gt;&lt;wsp:rsid wsp:val=&quot;005537D4&quot;/&gt;&lt;wsp:rsid wsp:val=&quot;005537ED&quot;/&gt;&lt;wsp:rsid wsp:val=&quot;00554F01&quot;/&gt;&lt;wsp:rsid wsp:val=&quot;00555A9A&quot;/&gt;&lt;wsp:rsid wsp:val=&quot;00555AD9&quot;/&gt;&lt;wsp:rsid wsp:val=&quot;00555E61&quot;/&gt;&lt;wsp:rsid wsp:val=&quot;0055631D&quot;/&gt;&lt;wsp:rsid wsp:val=&quot;00556F37&quot;/&gt;&lt;wsp:rsid wsp:val=&quot;00561665&quot;/&gt;&lt;wsp:rsid wsp:val=&quot;005634A5&quot;/&gt;&lt;wsp:rsid wsp:val=&quot;005635C1&quot;/&gt;&lt;wsp:rsid wsp:val=&quot;005646FF&quot;/&gt;&lt;wsp:rsid wsp:val=&quot;00565858&quot;/&gt;&lt;wsp:rsid wsp:val=&quot;00565C7E&quot;/&gt;&lt;wsp:rsid wsp:val=&quot;00565F1B&quot;/&gt;&lt;wsp:rsid wsp:val=&quot;00566B46&quot;/&gt;&lt;wsp:rsid wsp:val=&quot;0056787D&quot;/&gt;&lt;wsp:rsid wsp:val=&quot;00567E09&quot;/&gt;&lt;wsp:rsid wsp:val=&quot;00567F9E&quot;/&gt;&lt;wsp:rsid wsp:val=&quot;00570635&quot;/&gt;&lt;wsp:rsid wsp:val=&quot;005713C6&quot;/&gt;&lt;wsp:rsid wsp:val=&quot;005719B1&quot;/&gt;&lt;wsp:rsid wsp:val=&quot;005720F8&quot;/&gt;&lt;wsp:rsid wsp:val=&quot;00572422&quot;/&gt;&lt;wsp:rsid wsp:val=&quot;00573363&quot;/&gt;&lt;wsp:rsid wsp:val=&quot;005736CE&quot;/&gt;&lt;wsp:rsid wsp:val=&quot;005745B0&quot;/&gt;&lt;wsp:rsid wsp:val=&quot;00574C4E&quot;/&gt;&lt;wsp:rsid wsp:val=&quot;005752DB&quot;/&gt;&lt;wsp:rsid wsp:val=&quot;00577402&quot;/&gt;&lt;wsp:rsid wsp:val=&quot;00577DB9&quot;/&gt;&lt;wsp:rsid wsp:val=&quot;00581DE0&quot;/&gt;&lt;wsp:rsid wsp:val=&quot;00582626&quot;/&gt;&lt;wsp:rsid wsp:val=&quot;00582E5C&quot;/&gt;&lt;wsp:rsid wsp:val=&quot;0058305D&quot;/&gt;&lt;wsp:rsid wsp:val=&quot;005836E7&quot;/&gt;&lt;wsp:rsid wsp:val=&quot;0058436F&quot;/&gt;&lt;wsp:rsid wsp:val=&quot;00584A9B&quot;/&gt;&lt;wsp:rsid wsp:val=&quot;0058576F&quot;/&gt;&lt;wsp:rsid wsp:val=&quot;00585C24&quot;/&gt;&lt;wsp:rsid wsp:val=&quot;005861E2&quot;/&gt;&lt;wsp:rsid wsp:val=&quot;00586981&quot;/&gt;&lt;wsp:rsid wsp:val=&quot;00586A5A&quot;/&gt;&lt;wsp:rsid wsp:val=&quot;00586CC8&quot;/&gt;&lt;wsp:rsid wsp:val=&quot;00586E03&quot;/&gt;&lt;wsp:rsid wsp:val=&quot;00587653&quot;/&gt;&lt;wsp:rsid wsp:val=&quot;00587938&quot;/&gt;&lt;wsp:rsid wsp:val=&quot;00590532&quot;/&gt;&lt;wsp:rsid wsp:val=&quot;005908C7&quot;/&gt;&lt;wsp:rsid wsp:val=&quot;005909FC&quot;/&gt;&lt;wsp:rsid wsp:val=&quot;00590F9C&quot;/&gt;&lt;wsp:rsid wsp:val=&quot;00591C1F&quot;/&gt;&lt;wsp:rsid wsp:val=&quot;005924B8&quot;/&gt;&lt;wsp:rsid wsp:val=&quot;00592DB0&quot;/&gt;&lt;wsp:rsid wsp:val=&quot;005933DC&quot;/&gt;&lt;wsp:rsid wsp:val=&quot;00593633&quot;/&gt;&lt;wsp:rsid wsp:val=&quot;005940E2&quot;/&gt;&lt;wsp:rsid wsp:val=&quot;00594C1E&quot;/&gt;&lt;wsp:rsid wsp:val=&quot;00594D8A&quot;/&gt;&lt;wsp:rsid wsp:val=&quot;00594EAA&quot;/&gt;&lt;wsp:rsid wsp:val=&quot;0059714E&quot;/&gt;&lt;wsp:rsid wsp:val=&quot;00597773&quot;/&gt;&lt;wsp:rsid wsp:val=&quot;005A0CAB&quot;/&gt;&lt;wsp:rsid wsp:val=&quot;005A26AC&quot;/&gt;&lt;wsp:rsid wsp:val=&quot;005A274E&quot;/&gt;&lt;wsp:rsid wsp:val=&quot;005A2D8A&quot;/&gt;&lt;wsp:rsid wsp:val=&quot;005A31A4&quot;/&gt;&lt;wsp:rsid wsp:val=&quot;005A3788&quot;/&gt;&lt;wsp:rsid wsp:val=&quot;005A391A&quot;/&gt;&lt;wsp:rsid wsp:val=&quot;005A433F&quot;/&gt;&lt;wsp:rsid wsp:val=&quot;005A46E3&quot;/&gt;&lt;wsp:rsid wsp:val=&quot;005A4B2E&quot;/&gt;&lt;wsp:rsid wsp:val=&quot;005A4CA1&quot;/&gt;&lt;wsp:rsid wsp:val=&quot;005A5B91&quot;/&gt;&lt;wsp:rsid wsp:val=&quot;005A5BD9&quot;/&gt;&lt;wsp:rsid wsp:val=&quot;005A5BE1&quot;/&gt;&lt;wsp:rsid wsp:val=&quot;005A632B&quot;/&gt;&lt;wsp:rsid wsp:val=&quot;005A6856&quot;/&gt;&lt;wsp:rsid wsp:val=&quot;005A6E08&quot;/&gt;&lt;wsp:rsid wsp:val=&quot;005A72FD&quot;/&gt;&lt;wsp:rsid wsp:val=&quot;005A7339&quot;/&gt;&lt;wsp:rsid wsp:val=&quot;005A7C2F&quot;/&gt;&lt;wsp:rsid wsp:val=&quot;005B064B&quot;/&gt;&lt;wsp:rsid wsp:val=&quot;005B0CC7&quot;/&gt;&lt;wsp:rsid wsp:val=&quot;005B1EC5&quot;/&gt;&lt;wsp:rsid wsp:val=&quot;005B2344&quot;/&gt;&lt;wsp:rsid wsp:val=&quot;005B2B41&quot;/&gt;&lt;wsp:rsid wsp:val=&quot;005B2B85&quot;/&gt;&lt;wsp:rsid wsp:val=&quot;005B2BA3&quot;/&gt;&lt;wsp:rsid wsp:val=&quot;005B3999&quot;/&gt;&lt;wsp:rsid wsp:val=&quot;005B3E10&quot;/&gt;&lt;wsp:rsid wsp:val=&quot;005B4D2B&quot;/&gt;&lt;wsp:rsid wsp:val=&quot;005B5645&quot;/&gt;&lt;wsp:rsid wsp:val=&quot;005B5680&quot;/&gt;&lt;wsp:rsid wsp:val=&quot;005B5B0E&quot;/&gt;&lt;wsp:rsid wsp:val=&quot;005B5F9A&quot;/&gt;&lt;wsp:rsid wsp:val=&quot;005B6289&quot;/&gt;&lt;wsp:rsid wsp:val=&quot;005B62F9&quot;/&gt;&lt;wsp:rsid wsp:val=&quot;005B7E99&quot;/&gt;&lt;wsp:rsid wsp:val=&quot;005C0392&quot;/&gt;&lt;wsp:rsid wsp:val=&quot;005C0A59&quot;/&gt;&lt;wsp:rsid wsp:val=&quot;005C0D2A&quot;/&gt;&lt;wsp:rsid wsp:val=&quot;005C101D&quot;/&gt;&lt;wsp:rsid wsp:val=&quot;005C1836&quot;/&gt;&lt;wsp:rsid wsp:val=&quot;005C1C0F&quot;/&gt;&lt;wsp:rsid wsp:val=&quot;005C1EAC&quot;/&gt;&lt;wsp:rsid wsp:val=&quot;005C22DB&quot;/&gt;&lt;wsp:rsid wsp:val=&quot;005C230D&quot;/&gt;&lt;wsp:rsid wsp:val=&quot;005C2987&quot;/&gt;&lt;wsp:rsid wsp:val=&quot;005C3F19&quot;/&gt;&lt;wsp:rsid wsp:val=&quot;005C6530&quot;/&gt;&lt;wsp:rsid wsp:val=&quot;005C65CB&quot;/&gt;&lt;wsp:rsid wsp:val=&quot;005C6B63&quot;/&gt;&lt;wsp:rsid wsp:val=&quot;005C706C&quot;/&gt;&lt;wsp:rsid wsp:val=&quot;005C7183&quot;/&gt;&lt;wsp:rsid wsp:val=&quot;005C731B&quot;/&gt;&lt;wsp:rsid wsp:val=&quot;005C7603&quot;/&gt;&lt;wsp:rsid wsp:val=&quot;005C7C07&quot;/&gt;&lt;wsp:rsid wsp:val=&quot;005C7F12&quot;/&gt;&lt;wsp:rsid wsp:val=&quot;005D089B&quot;/&gt;&lt;wsp:rsid wsp:val=&quot;005D0C8D&quot;/&gt;&lt;wsp:rsid wsp:val=&quot;005D2496&quot;/&gt;&lt;wsp:rsid wsp:val=&quot;005D3693&quot;/&gt;&lt;wsp:rsid wsp:val=&quot;005D37AB&quot;/&gt;&lt;wsp:rsid wsp:val=&quot;005D3F40&quot;/&gt;&lt;wsp:rsid wsp:val=&quot;005D4009&quot;/&gt;&lt;wsp:rsid wsp:val=&quot;005D4388&quot;/&gt;&lt;wsp:rsid wsp:val=&quot;005D4E76&quot;/&gt;&lt;wsp:rsid wsp:val=&quot;005D58A9&quot;/&gt;&lt;wsp:rsid wsp:val=&quot;005D5ECF&quot;/&gt;&lt;wsp:rsid wsp:val=&quot;005D6A52&quot;/&gt;&lt;wsp:rsid wsp:val=&quot;005D7CFE&quot;/&gt;&lt;wsp:rsid wsp:val=&quot;005E02EA&quot;/&gt;&lt;wsp:rsid wsp:val=&quot;005E093D&quot;/&gt;&lt;wsp:rsid wsp:val=&quot;005E0CD4&quot;/&gt;&lt;wsp:rsid wsp:val=&quot;005E1291&quot;/&gt;&lt;wsp:rsid wsp:val=&quot;005E1BFE&quot;/&gt;&lt;wsp:rsid wsp:val=&quot;005E1CB1&quot;/&gt;&lt;wsp:rsid wsp:val=&quot;005E228E&quot;/&gt;&lt;wsp:rsid wsp:val=&quot;005E28DB&quot;/&gt;&lt;wsp:rsid wsp:val=&quot;005E365F&quot;/&gt;&lt;wsp:rsid wsp:val=&quot;005E3C31&quot;/&gt;&lt;wsp:rsid wsp:val=&quot;005E425C&quot;/&gt;&lt;wsp:rsid wsp:val=&quot;005E4DD2&quot;/&gt;&lt;wsp:rsid wsp:val=&quot;005E5961&quot;/&gt;&lt;wsp:rsid wsp:val=&quot;005E5C2C&quot;/&gt;&lt;wsp:rsid wsp:val=&quot;005E6F51&quot;/&gt;&lt;wsp:rsid wsp:val=&quot;005E7AD0&quot;/&gt;&lt;wsp:rsid wsp:val=&quot;005E7F24&quot;/&gt;&lt;wsp:rsid wsp:val=&quot;005F10B4&quot;/&gt;&lt;wsp:rsid wsp:val=&quot;005F1D75&quot;/&gt;&lt;wsp:rsid wsp:val=&quot;005F30B5&quot;/&gt;&lt;wsp:rsid wsp:val=&quot;005F4AD7&quot;/&gt;&lt;wsp:rsid wsp:val=&quot;005F6027&quot;/&gt;&lt;wsp:rsid wsp:val=&quot;005F7040&quot;/&gt;&lt;wsp:rsid wsp:val=&quot;0060042D&quot;/&gt;&lt;wsp:rsid wsp:val=&quot;0060104D&quot;/&gt;&lt;wsp:rsid wsp:val=&quot;006017D9&quot;/&gt;&lt;wsp:rsid wsp:val=&quot;00603630&quot;/&gt;&lt;wsp:rsid wsp:val=&quot;00603710&quot;/&gt;&lt;wsp:rsid wsp:val=&quot;00603D80&quot;/&gt;&lt;wsp:rsid wsp:val=&quot;00604990&quot;/&gt;&lt;wsp:rsid wsp:val=&quot;00604F21&quot;/&gt;&lt;wsp:rsid wsp:val=&quot;00605799&quot;/&gt;&lt;wsp:rsid wsp:val=&quot;00605FDC&quot;/&gt;&lt;wsp:rsid wsp:val=&quot;00606DFB&quot;/&gt;&lt;wsp:rsid wsp:val=&quot;00606F17&quot;/&gt;&lt;wsp:rsid wsp:val=&quot;00607806&quot;/&gt;&lt;wsp:rsid wsp:val=&quot;00607FC3&quot;/&gt;&lt;wsp:rsid wsp:val=&quot;00610A68&quot;/&gt;&lt;wsp:rsid wsp:val=&quot;00611957&quot;/&gt;&lt;wsp:rsid wsp:val=&quot;00611A07&quot;/&gt;&lt;wsp:rsid wsp:val=&quot;0061210C&quot;/&gt;&lt;wsp:rsid wsp:val=&quot;006124D5&quot;/&gt;&lt;wsp:rsid wsp:val=&quot;0061269D&quot;/&gt;&lt;wsp:rsid wsp:val=&quot;00612BE0&quot;/&gt;&lt;wsp:rsid wsp:val=&quot;0061384F&quot;/&gt;&lt;wsp:rsid wsp:val=&quot;006139B9&quot;/&gt;&lt;wsp:rsid wsp:val=&quot;00614D29&quot;/&gt;&lt;wsp:rsid wsp:val=&quot;00615F29&quot;/&gt;&lt;wsp:rsid wsp:val=&quot;00616045&quot;/&gt;&lt;wsp:rsid wsp:val=&quot;006161D0&quot;/&gt;&lt;wsp:rsid wsp:val=&quot;00616BDD&quot;/&gt;&lt;wsp:rsid wsp:val=&quot;006219FE&quot;/&gt;&lt;wsp:rsid wsp:val=&quot;00621A91&quot;/&gt;&lt;wsp:rsid wsp:val=&quot;00622B06&quot;/&gt;&lt;wsp:rsid wsp:val=&quot;00622FCC&quot;/&gt;&lt;wsp:rsid wsp:val=&quot;00623F0C&quot;/&gt;&lt;wsp:rsid wsp:val=&quot;0062448B&quot;/&gt;&lt;wsp:rsid wsp:val=&quot;006244EA&quot;/&gt;&lt;wsp:rsid wsp:val=&quot;0062462A&quot;/&gt;&lt;wsp:rsid wsp:val=&quot;00624ABD&quot;/&gt;&lt;wsp:rsid wsp:val=&quot;00624EA6&quot;/&gt;&lt;wsp:rsid wsp:val=&quot;006257DA&quot;/&gt;&lt;wsp:rsid wsp:val=&quot;00625984&quot;/&gt;&lt;wsp:rsid wsp:val=&quot;00627914&quot;/&gt;&lt;wsp:rsid wsp:val=&quot;006301D1&quot;/&gt;&lt;wsp:rsid wsp:val=&quot;00630B5A&quot;/&gt;&lt;wsp:rsid wsp:val=&quot;006311E5&quot;/&gt;&lt;wsp:rsid wsp:val=&quot;006316BB&quot;/&gt;&lt;wsp:rsid wsp:val=&quot;006324B4&quot;/&gt;&lt;wsp:rsid wsp:val=&quot;00632F32&quot;/&gt;&lt;wsp:rsid wsp:val=&quot;00633255&quot;/&gt;&lt;wsp:rsid wsp:val=&quot;00633402&quot;/&gt;&lt;wsp:rsid wsp:val=&quot;00633FAF&quot;/&gt;&lt;wsp:rsid wsp:val=&quot;0063469C&quot;/&gt;&lt;wsp:rsid wsp:val=&quot;00634F49&quot;/&gt;&lt;wsp:rsid wsp:val=&quot;00635A33&quot;/&gt;&lt;wsp:rsid wsp:val=&quot;00635FB5&quot;/&gt;&lt;wsp:rsid wsp:val=&quot;00636A02&quot;/&gt;&lt;wsp:rsid wsp:val=&quot;00636A17&quot;/&gt;&lt;wsp:rsid wsp:val=&quot;00636B6E&quot;/&gt;&lt;wsp:rsid wsp:val=&quot;0063739C&quot;/&gt;&lt;wsp:rsid wsp:val=&quot;00640AF7&quot;/&gt;&lt;wsp:rsid wsp:val=&quot;00640B7F&quot;/&gt;&lt;wsp:rsid wsp:val=&quot;00640C6A&quot;/&gt;&lt;wsp:rsid wsp:val=&quot;00641BBA&quot;/&gt;&lt;wsp:rsid wsp:val=&quot;00642346&quot;/&gt;&lt;wsp:rsid wsp:val=&quot;0064235C&quot;/&gt;&lt;wsp:rsid wsp:val=&quot;0064353A&quot;/&gt;&lt;wsp:rsid wsp:val=&quot;006438ED&quot;/&gt;&lt;wsp:rsid wsp:val=&quot;00643C32&quot;/&gt;&lt;wsp:rsid wsp:val=&quot;00644674&quot;/&gt;&lt;wsp:rsid wsp:val=&quot;006450B9&quot;/&gt;&lt;wsp:rsid wsp:val=&quot;00645F4F&quot;/&gt;&lt;wsp:rsid wsp:val=&quot;00647496&quot;/&gt;&lt;wsp:rsid wsp:val=&quot;00647CE8&quot;/&gt;&lt;wsp:rsid wsp:val=&quot;00650160&quot;/&gt;&lt;wsp:rsid wsp:val=&quot;006526B0&quot;/&gt;&lt;wsp:rsid wsp:val=&quot;006527BD&quot;/&gt;&lt;wsp:rsid wsp:val=&quot;0065289A&quot;/&gt;&lt;wsp:rsid wsp:val=&quot;006528CC&quot;/&gt;&lt;wsp:rsid wsp:val=&quot;00652C05&quot;/&gt;&lt;wsp:rsid wsp:val=&quot;0065300E&quot;/&gt;&lt;wsp:rsid wsp:val=&quot;006533F5&quot;/&gt;&lt;wsp:rsid wsp:val=&quot;006534C4&quot;/&gt;&lt;wsp:rsid wsp:val=&quot;00653A74&quot;/&gt;&lt;wsp:rsid wsp:val=&quot;00654511&quot;/&gt;&lt;wsp:rsid wsp:val=&quot;0065554C&quot;/&gt;&lt;wsp:rsid wsp:val=&quot;0065661D&quot;/&gt;&lt;wsp:rsid wsp:val=&quot;00656F4D&quot;/&gt;&lt;wsp:rsid wsp:val=&quot;00660110&quot;/&gt;&lt;wsp:rsid wsp:val=&quot;00660615&quot;/&gt;&lt;wsp:rsid wsp:val=&quot;00660623&quot;/&gt;&lt;wsp:rsid wsp:val=&quot;00660D59&quot;/&gt;&lt;wsp:rsid wsp:val=&quot;0066185F&quot;/&gt;&lt;wsp:rsid wsp:val=&quot;00662466&quot;/&gt;&lt;wsp:rsid wsp:val=&quot;00663BD1&quot;/&gt;&lt;wsp:rsid wsp:val=&quot;00664336&quot;/&gt;&lt;wsp:rsid wsp:val=&quot;006657C2&quot;/&gt;&lt;wsp:rsid wsp:val=&quot;00670E0C&quot;/&gt;&lt;wsp:rsid wsp:val=&quot;00671224&quot;/&gt;&lt;wsp:rsid wsp:val=&quot;0067125B&quot;/&gt;&lt;wsp:rsid wsp:val=&quot;006712B8&quot;/&gt;&lt;wsp:rsid wsp:val=&quot;00671B0D&quot;/&gt;&lt;wsp:rsid wsp:val=&quot;00671B8B&quot;/&gt;&lt;wsp:rsid wsp:val=&quot;00671D49&quot;/&gt;&lt;wsp:rsid wsp:val=&quot;00672120&quot;/&gt;&lt;wsp:rsid wsp:val=&quot;00672654&quot;/&gt;&lt;wsp:rsid wsp:val=&quot;00672C98&quot;/&gt;&lt;wsp:rsid wsp:val=&quot;0067335A&quot;/&gt;&lt;wsp:rsid wsp:val=&quot;00673447&quot;/&gt;&lt;wsp:rsid wsp:val=&quot;00673976&quot;/&gt;&lt;wsp:rsid wsp:val=&quot;00673EEB&quot;/&gt;&lt;wsp:rsid wsp:val=&quot;0067402E&quot;/&gt;&lt;wsp:rsid wsp:val=&quot;00675270&quot;/&gt;&lt;wsp:rsid wsp:val=&quot;006759FB&quot;/&gt;&lt;wsp:rsid wsp:val=&quot;00675C2F&quot;/&gt;&lt;wsp:rsid wsp:val=&quot;00675FA6&quot;/&gt;&lt;wsp:rsid wsp:val=&quot;00677BE0&quot;/&gt;&lt;wsp:rsid wsp:val=&quot;00677E60&quot;/&gt;&lt;wsp:rsid wsp:val=&quot;00681641&quot;/&gt;&lt;wsp:rsid wsp:val=&quot;00682AC1&quot;/&gt;&lt;wsp:rsid wsp:val=&quot;00682FD3&quot;/&gt;&lt;wsp:rsid wsp:val=&quot;00683F1E&quot;/&gt;&lt;wsp:rsid wsp:val=&quot;006852BD&quot;/&gt;&lt;wsp:rsid wsp:val=&quot;006855E4&quot;/&gt;&lt;wsp:rsid wsp:val=&quot;00685D3E&quot;/&gt;&lt;wsp:rsid wsp:val=&quot;00686435&quot;/&gt;&lt;wsp:rsid wsp:val=&quot;00686C5C&quot;/&gt;&lt;wsp:rsid wsp:val=&quot;00686D0C&quot;/&gt;&lt;wsp:rsid wsp:val=&quot;00686F47&quot;/&gt;&lt;wsp:rsid wsp:val=&quot;0068741F&quot;/&gt;&lt;wsp:rsid wsp:val=&quot;00687752&quot;/&gt;&lt;wsp:rsid wsp:val=&quot;00687947&quot;/&gt;&lt;wsp:rsid wsp:val=&quot;00687AD0&quot;/&gt;&lt;wsp:rsid wsp:val=&quot;00687C67&quot;/&gt;&lt;wsp:rsid wsp:val=&quot;00687F91&quot;/&gt;&lt;wsp:rsid wsp:val=&quot;006900DD&quot;/&gt;&lt;wsp:rsid wsp:val=&quot;006907D1&quot;/&gt;&lt;wsp:rsid wsp:val=&quot;00690D05&quot;/&gt;&lt;wsp:rsid wsp:val=&quot;00692A80&quot;/&gt;&lt;wsp:rsid wsp:val=&quot;00692DBF&quot;/&gt;&lt;wsp:rsid wsp:val=&quot;00693388&quot;/&gt;&lt;wsp:rsid wsp:val=&quot;006933BC&quot;/&gt;&lt;wsp:rsid wsp:val=&quot;006943BE&quot;/&gt;&lt;wsp:rsid wsp:val=&quot;006952BE&quot;/&gt;&lt;wsp:rsid wsp:val=&quot;00695B88&quot;/&gt;&lt;wsp:rsid wsp:val=&quot;00695CDB&quot;/&gt;&lt;wsp:rsid wsp:val=&quot;00696577&quot;/&gt;&lt;wsp:rsid wsp:val=&quot;0069692D&quot;/&gt;&lt;wsp:rsid wsp:val=&quot;006971B9&quot;/&gt;&lt;wsp:rsid wsp:val=&quot;006976A7&quot;/&gt;&lt;wsp:rsid wsp:val=&quot;00697A43&quot;/&gt;&lt;wsp:rsid wsp:val=&quot;006A03B6&quot;/&gt;&lt;wsp:rsid wsp:val=&quot;006A0948&quot;/&gt;&lt;wsp:rsid wsp:val=&quot;006A09AC&quot;/&gt;&lt;wsp:rsid wsp:val=&quot;006A15E1&quot;/&gt;&lt;wsp:rsid wsp:val=&quot;006A1C7F&quot;/&gt;&lt;wsp:rsid wsp:val=&quot;006A2FB8&quot;/&gt;&lt;wsp:rsid wsp:val=&quot;006A3EE4&quot;/&gt;&lt;wsp:rsid wsp:val=&quot;006A417B&quot;/&gt;&lt;wsp:rsid wsp:val=&quot;006A6044&quot;/&gt;&lt;wsp:rsid wsp:val=&quot;006A6B36&quot;/&gt;&lt;wsp:rsid wsp:val=&quot;006A76F8&quot;/&gt;&lt;wsp:rsid wsp:val=&quot;006A781D&quot;/&gt;&lt;wsp:rsid wsp:val=&quot;006B03B5&quot;/&gt;&lt;wsp:rsid wsp:val=&quot;006B0BF6&quot;/&gt;&lt;wsp:rsid wsp:val=&quot;006B11EB&quot;/&gt;&lt;wsp:rsid wsp:val=&quot;006B1489&quot;/&gt;&lt;wsp:rsid wsp:val=&quot;006B155F&quot;/&gt;&lt;wsp:rsid wsp:val=&quot;006B1D9D&quot;/&gt;&lt;wsp:rsid wsp:val=&quot;006B1F26&quot;/&gt;&lt;wsp:rsid wsp:val=&quot;006B221E&quot;/&gt;&lt;wsp:rsid wsp:val=&quot;006B24D6&quot;/&gt;&lt;wsp:rsid wsp:val=&quot;006B27F5&quot;/&gt;&lt;wsp:rsid wsp:val=&quot;006B2EF2&quot;/&gt;&lt;wsp:rsid wsp:val=&quot;006B39A6&quot;/&gt;&lt;wsp:rsid wsp:val=&quot;006B3C58&quot;/&gt;&lt;wsp:rsid wsp:val=&quot;006B4B50&quot;/&gt;&lt;wsp:rsid wsp:val=&quot;006B4C92&quot;/&gt;&lt;wsp:rsid wsp:val=&quot;006B4EEA&quot;/&gt;&lt;wsp:rsid wsp:val=&quot;006B538F&quot;/&gt;&lt;wsp:rsid wsp:val=&quot;006B5A5A&quot;/&gt;&lt;wsp:rsid wsp:val=&quot;006B5E82&quot;/&gt;&lt;wsp:rsid wsp:val=&quot;006B6481&quot;/&gt;&lt;wsp:rsid wsp:val=&quot;006B6D1B&quot;/&gt;&lt;wsp:rsid wsp:val=&quot;006B7AFC&quot;/&gt;&lt;wsp:rsid wsp:val=&quot;006B7FE3&quot;/&gt;&lt;wsp:rsid wsp:val=&quot;006C02FF&quot;/&gt;&lt;wsp:rsid wsp:val=&quot;006C1491&quot;/&gt;&lt;wsp:rsid wsp:val=&quot;006C1CF4&quot;/&gt;&lt;wsp:rsid wsp:val=&quot;006C22CF&quot;/&gt;&lt;wsp:rsid wsp:val=&quot;006C283D&quot;/&gt;&lt;wsp:rsid wsp:val=&quot;006C284A&quot;/&gt;&lt;wsp:rsid wsp:val=&quot;006C31AD&quot;/&gt;&lt;wsp:rsid wsp:val=&quot;006C5233&quot;/&gt;&lt;wsp:rsid wsp:val=&quot;006C53E8&quot;/&gt;&lt;wsp:rsid wsp:val=&quot;006C55E6&quot;/&gt;&lt;wsp:rsid wsp:val=&quot;006C5E29&quot;/&gt;&lt;wsp:rsid wsp:val=&quot;006C682C&quot;/&gt;&lt;wsp:rsid wsp:val=&quot;006C75C0&quot;/&gt;&lt;wsp:rsid wsp:val=&quot;006D0213&quot;/&gt;&lt;wsp:rsid wsp:val=&quot;006D1F57&quot;/&gt;&lt;wsp:rsid wsp:val=&quot;006D2786&quot;/&gt;&lt;wsp:rsid wsp:val=&quot;006D2B47&quot;/&gt;&lt;wsp:rsid wsp:val=&quot;006D2F05&quot;/&gt;&lt;wsp:rsid wsp:val=&quot;006D3B3A&quot;/&gt;&lt;wsp:rsid wsp:val=&quot;006D3BED&quot;/&gt;&lt;wsp:rsid wsp:val=&quot;006D40F7&quot;/&gt;&lt;wsp:rsid wsp:val=&quot;006D4C4F&quot;/&gt;&lt;wsp:rsid wsp:val=&quot;006D7767&quot;/&gt;&lt;wsp:rsid wsp:val=&quot;006E0330&quot;/&gt;&lt;wsp:rsid wsp:val=&quot;006E0C6D&quot;/&gt;&lt;wsp:rsid wsp:val=&quot;006E101E&quot;/&gt;&lt;wsp:rsid wsp:val=&quot;006E1DD5&quot;/&gt;&lt;wsp:rsid wsp:val=&quot;006E30FF&quot;/&gt;&lt;wsp:rsid wsp:val=&quot;006E38C3&quot;/&gt;&lt;wsp:rsid wsp:val=&quot;006E3A0C&quot;/&gt;&lt;wsp:rsid wsp:val=&quot;006E6B4D&quot;/&gt;&lt;wsp:rsid wsp:val=&quot;006E6CA3&quot;/&gt;&lt;wsp:rsid wsp:val=&quot;006E7961&quot;/&gt;&lt;wsp:rsid wsp:val=&quot;006F0B2E&quot;/&gt;&lt;wsp:rsid wsp:val=&quot;006F0CBE&quot;/&gt;&lt;wsp:rsid wsp:val=&quot;006F21CD&quot;/&gt;&lt;wsp:rsid wsp:val=&quot;006F3104&quot;/&gt;&lt;wsp:rsid wsp:val=&quot;006F397C&quot;/&gt;&lt;wsp:rsid wsp:val=&quot;006F479B&quot;/&gt;&lt;wsp:rsid wsp:val=&quot;006F50B4&quot;/&gt;&lt;wsp:rsid wsp:val=&quot;006F56AA&quot;/&gt;&lt;wsp:rsid wsp:val=&quot;006F58CC&quot;/&gt;&lt;wsp:rsid wsp:val=&quot;006F58D2&quot;/&gt;&lt;wsp:rsid wsp:val=&quot;006F6346&quot;/&gt;&lt;wsp:rsid wsp:val=&quot;006F726D&quot;/&gt;&lt;wsp:rsid wsp:val=&quot;006F73D8&quot;/&gt;&lt;wsp:rsid wsp:val=&quot;007006A9&quot;/&gt;&lt;wsp:rsid wsp:val=&quot;00700861&quot;/&gt;&lt;wsp:rsid wsp:val=&quot;00700D70&quot;/&gt;&lt;wsp:rsid wsp:val=&quot;00701553&quot;/&gt;&lt;wsp:rsid wsp:val=&quot;00701A03&quot;/&gt;&lt;wsp:rsid wsp:val=&quot;00701A52&quot;/&gt;&lt;wsp:rsid wsp:val=&quot;00702AB7&quot;/&gt;&lt;wsp:rsid wsp:val=&quot;00703047&quot;/&gt;&lt;wsp:rsid wsp:val=&quot;00703290&quot;/&gt;&lt;wsp:rsid wsp:val=&quot;007041A4&quot;/&gt;&lt;wsp:rsid wsp:val=&quot;00704B3E&quot;/&gt;&lt;wsp:rsid wsp:val=&quot;00704C3F&quot;/&gt;&lt;wsp:rsid wsp:val=&quot;00704D08&quot;/&gt;&lt;wsp:rsid wsp:val=&quot;0070502E&quot;/&gt;&lt;wsp:rsid wsp:val=&quot;00706355&quot;/&gt;&lt;wsp:rsid wsp:val=&quot;007109D2&quot;/&gt;&lt;wsp:rsid wsp:val=&quot;00711C50&quot;/&gt;&lt;wsp:rsid wsp:val=&quot;00711F4F&quot;/&gt;&lt;wsp:rsid wsp:val=&quot;007127D7&quot;/&gt;&lt;wsp:rsid wsp:val=&quot;00712E2D&quot;/&gt;&lt;wsp:rsid wsp:val=&quot;00712FF8&quot;/&gt;&lt;wsp:rsid wsp:val=&quot;00713731&quot;/&gt;&lt;wsp:rsid wsp:val=&quot;00713A56&quot;/&gt;&lt;wsp:rsid wsp:val=&quot;00715276&quot;/&gt;&lt;wsp:rsid wsp:val=&quot;007156FC&quot;/&gt;&lt;wsp:rsid wsp:val=&quot;00715D49&quot;/&gt;&lt;wsp:rsid wsp:val=&quot;007166AA&quot;/&gt;&lt;wsp:rsid wsp:val=&quot;007172CC&quot;/&gt;&lt;wsp:rsid wsp:val=&quot;0072039F&quot;/&gt;&lt;wsp:rsid wsp:val=&quot;007209D0&quot;/&gt;&lt;wsp:rsid wsp:val=&quot;00720AFC&quot;/&gt;&lt;wsp:rsid wsp:val=&quot;00721332&quot;/&gt;&lt;wsp:rsid wsp:val=&quot;00722100&quot;/&gt;&lt;wsp:rsid wsp:val=&quot;007225E8&quot;/&gt;&lt;wsp:rsid wsp:val=&quot;00722E2C&quot;/&gt;&lt;wsp:rsid wsp:val=&quot;00722E61&quot;/&gt;&lt;wsp:rsid wsp:val=&quot;00723C8C&quot;/&gt;&lt;wsp:rsid wsp:val=&quot;00723E43&quot;/&gt;&lt;wsp:rsid wsp:val=&quot;00724654&quot;/&gt;&lt;wsp:rsid wsp:val=&quot;00725770&quot;/&gt;&lt;wsp:rsid wsp:val=&quot;007260AF&quot;/&gt;&lt;wsp:rsid wsp:val=&quot;007273F4&quot;/&gt;&lt;wsp:rsid wsp:val=&quot;007275D4&quot;/&gt;&lt;wsp:rsid wsp:val=&quot;00730168&quot;/&gt;&lt;wsp:rsid wsp:val=&quot;00730A31&quot;/&gt;&lt;wsp:rsid wsp:val=&quot;00731999&quot;/&gt;&lt;wsp:rsid wsp:val=&quot;00731E4F&quot;/&gt;&lt;wsp:rsid wsp:val=&quot;00733A08&quot;/&gt;&lt;wsp:rsid wsp:val=&quot;00733C89&quot;/&gt;&lt;wsp:rsid wsp:val=&quot;007367A6&quot;/&gt;&lt;wsp:rsid wsp:val=&quot;00736D4A&quot;/&gt;&lt;wsp:rsid wsp:val=&quot;0073771B&quot;/&gt;&lt;wsp:rsid wsp:val=&quot;00737FF3&quot;/&gt;&lt;wsp:rsid wsp:val=&quot;00740091&quot;/&gt;&lt;wsp:rsid wsp:val=&quot;0074065A&quot;/&gt;&lt;wsp:rsid wsp:val=&quot;0074082B&quot;/&gt;&lt;wsp:rsid wsp:val=&quot;0074091A&quot;/&gt;&lt;wsp:rsid wsp:val=&quot;00740DFC&quot;/&gt;&lt;wsp:rsid wsp:val=&quot;00741621&quot;/&gt;&lt;wsp:rsid wsp:val=&quot;0074167C&quot;/&gt;&lt;wsp:rsid wsp:val=&quot;00741BC6&quot;/&gt;&lt;wsp:rsid wsp:val=&quot;00742D3A&quot;/&gt;&lt;wsp:rsid wsp:val=&quot;007435A2&quot;/&gt;&lt;wsp:rsid wsp:val=&quot;007439AD&quot;/&gt;&lt;wsp:rsid wsp:val=&quot;0074590C&quot;/&gt;&lt;wsp:rsid wsp:val=&quot;00745BD2&quot;/&gt;&lt;wsp:rsid wsp:val=&quot;0074670C&quot;/&gt;&lt;wsp:rsid wsp:val=&quot;00746EA6&quot;/&gt;&lt;wsp:rsid wsp:val=&quot;00747622&quot;/&gt;&lt;wsp:rsid wsp:val=&quot;007501A3&quot;/&gt;&lt;wsp:rsid wsp:val=&quot;00750899&quot;/&gt;&lt;wsp:rsid wsp:val=&quot;00751D56&quot;/&gt;&lt;wsp:rsid wsp:val=&quot;00752330&quot;/&gt;&lt;wsp:rsid wsp:val=&quot;007527D9&quot;/&gt;&lt;wsp:rsid wsp:val=&quot;007534CE&quot;/&gt;&lt;wsp:rsid wsp:val=&quot;007534F1&quot;/&gt;&lt;wsp:rsid wsp:val=&quot;00753618&quot;/&gt;&lt;wsp:rsid wsp:val=&quot;00754126&quot;/&gt;&lt;wsp:rsid wsp:val=&quot;00754B37&quot;/&gt;&lt;wsp:rsid wsp:val=&quot;007550C3&quot;/&gt;&lt;wsp:rsid wsp:val=&quot;0075520F&quot;/&gt;&lt;wsp:rsid wsp:val=&quot;00755647&quot;/&gt;&lt;wsp:rsid wsp:val=&quot;00755679&quot;/&gt;&lt;wsp:rsid wsp:val=&quot;00756284&quot;/&gt;&lt;wsp:rsid wsp:val=&quot;007563E9&quot;/&gt;&lt;wsp:rsid wsp:val=&quot;007567DA&quot;/&gt;&lt;wsp:rsid wsp:val=&quot;00756C30&quot;/&gt;&lt;wsp:rsid wsp:val=&quot;00757FBC&quot;/&gt;&lt;wsp:rsid wsp:val=&quot;00760894&quot;/&gt;&lt;wsp:rsid wsp:val=&quot;00760AC6&quot;/&gt;&lt;wsp:rsid wsp:val=&quot;007610A5&quot;/&gt;&lt;wsp:rsid wsp:val=&quot;00761309&quot;/&gt;&lt;wsp:rsid wsp:val=&quot;00761662&quot;/&gt;&lt;wsp:rsid wsp:val=&quot;00761811&quot;/&gt;&lt;wsp:rsid wsp:val=&quot;00761BC5&quot;/&gt;&lt;wsp:rsid wsp:val=&quot;00761F74&quot;/&gt;&lt;wsp:rsid wsp:val=&quot;00761F9C&quot;/&gt;&lt;wsp:rsid wsp:val=&quot;007623A4&quot;/&gt;&lt;wsp:rsid wsp:val=&quot;00762825&quot;/&gt;&lt;wsp:rsid wsp:val=&quot;00762D77&quot;/&gt;&lt;wsp:rsid wsp:val=&quot;00762F67&quot;/&gt;&lt;wsp:rsid wsp:val=&quot;00763177&quot;/&gt;&lt;wsp:rsid wsp:val=&quot;00763E5D&quot;/&gt;&lt;wsp:rsid wsp:val=&quot;0076431B&quot;/&gt;&lt;wsp:rsid wsp:val=&quot;007651B6&quot;/&gt;&lt;wsp:rsid wsp:val=&quot;007654E1&quot;/&gt;&lt;wsp:rsid wsp:val=&quot;00766455&quot;/&gt;&lt;wsp:rsid wsp:val=&quot;00767940&quot;/&gt;&lt;wsp:rsid wsp:val=&quot;00767E91&quot;/&gt;&lt;wsp:rsid wsp:val=&quot;00767EC5&quot;/&gt;&lt;wsp:rsid wsp:val=&quot;00770B8D&quot;/&gt;&lt;wsp:rsid wsp:val=&quot;00771152&quot;/&gt;&lt;wsp:rsid wsp:val=&quot;00771DB3&quot;/&gt;&lt;wsp:rsid wsp:val=&quot;007726C6&quot;/&gt;&lt;wsp:rsid wsp:val=&quot;00772975&quot;/&gt;&lt;wsp:rsid wsp:val=&quot;0077299A&quot;/&gt;&lt;wsp:rsid wsp:val=&quot;00772B6E&quot;/&gt;&lt;wsp:rsid wsp:val=&quot;00773000&quot;/&gt;&lt;wsp:rsid wsp:val=&quot;00774D5C&quot;/&gt;&lt;wsp:rsid wsp:val=&quot;00776066&quot;/&gt;&lt;wsp:rsid wsp:val=&quot;00776366&quot;/&gt;&lt;wsp:rsid wsp:val=&quot;007768E4&quot;/&gt;&lt;wsp:rsid wsp:val=&quot;00776B89&quot;/&gt;&lt;wsp:rsid wsp:val=&quot;0077716A&quot;/&gt;&lt;wsp:rsid wsp:val=&quot;007777E4&quot;/&gt;&lt;wsp:rsid wsp:val=&quot;007805B8&quot;/&gt;&lt;wsp:rsid wsp:val=&quot;00782080&quot;/&gt;&lt;wsp:rsid wsp:val=&quot;00782341&quot;/&gt;&lt;wsp:rsid wsp:val=&quot;00782948&quot;/&gt;&lt;wsp:rsid wsp:val=&quot;007833E3&quot;/&gt;&lt;wsp:rsid wsp:val=&quot;007834D0&quot;/&gt;&lt;wsp:rsid wsp:val=&quot;00783E81&quot;/&gt;&lt;wsp:rsid wsp:val=&quot;0078436D&quot;/&gt;&lt;wsp:rsid wsp:val=&quot;00784A89&quot;/&gt;&lt;wsp:rsid wsp:val=&quot;00784B16&quot;/&gt;&lt;wsp:rsid wsp:val=&quot;00786762&quot;/&gt;&lt;wsp:rsid wsp:val=&quot;00787558&quot;/&gt;&lt;wsp:rsid wsp:val=&quot;007907F0&quot;/&gt;&lt;wsp:rsid wsp:val=&quot;00791616&quot;/&gt;&lt;wsp:rsid wsp:val=&quot;00792636&quot;/&gt;&lt;wsp:rsid wsp:val=&quot;007928FF&quot;/&gt;&lt;wsp:rsid wsp:val=&quot;00792A32&quot;/&gt;&lt;wsp:rsid wsp:val=&quot;00793D20&quot;/&gt;&lt;wsp:rsid wsp:val=&quot;00794C56&quot;/&gt;&lt;wsp:rsid wsp:val=&quot;00795A01&quot;/&gt;&lt;wsp:rsid wsp:val=&quot;00795A88&quot;/&gt;&lt;wsp:rsid wsp:val=&quot;007960FD&quot;/&gt;&lt;wsp:rsid wsp:val=&quot;00796A1B&quot;/&gt;&lt;wsp:rsid wsp:val=&quot;00797271&quot;/&gt;&lt;wsp:rsid wsp:val=&quot;00797DF7&quot;/&gt;&lt;wsp:rsid wsp:val=&quot;007A0720&quot;/&gt;&lt;wsp:rsid wsp:val=&quot;007A19F1&quot;/&gt;&lt;wsp:rsid wsp:val=&quot;007A1D17&quot;/&gt;&lt;wsp:rsid wsp:val=&quot;007A30AB&quot;/&gt;&lt;wsp:rsid wsp:val=&quot;007A33C6&quot;/&gt;&lt;wsp:rsid wsp:val=&quot;007A3697&quot;/&gt;&lt;wsp:rsid wsp:val=&quot;007A445D&quot;/&gt;&lt;wsp:rsid wsp:val=&quot;007A5694&quot;/&gt;&lt;wsp:rsid wsp:val=&quot;007A67F7&quot;/&gt;&lt;wsp:rsid wsp:val=&quot;007A6D0F&quot;/&gt;&lt;wsp:rsid wsp:val=&quot;007A7B6E&quot;/&gt;&lt;wsp:rsid wsp:val=&quot;007A7FA6&quot;/&gt;&lt;wsp:rsid wsp:val=&quot;007B00BA&quot;/&gt;&lt;wsp:rsid wsp:val=&quot;007B05DD&quot;/&gt;&lt;wsp:rsid wsp:val=&quot;007B0B73&quot;/&gt;&lt;wsp:rsid wsp:val=&quot;007B19BA&quot;/&gt;&lt;wsp:rsid wsp:val=&quot;007B1F6A&quot;/&gt;&lt;wsp:rsid wsp:val=&quot;007B2097&quot;/&gt;&lt;wsp:rsid wsp:val=&quot;007B299B&quot;/&gt;&lt;wsp:rsid wsp:val=&quot;007B3F88&quot;/&gt;&lt;wsp:rsid wsp:val=&quot;007B3FD9&quot;/&gt;&lt;wsp:rsid wsp:val=&quot;007B609A&quot;/&gt;&lt;wsp:rsid wsp:val=&quot;007B6AD4&quot;/&gt;&lt;wsp:rsid wsp:val=&quot;007B6B1A&quot;/&gt;&lt;wsp:rsid wsp:val=&quot;007B7944&quot;/&gt;&lt;wsp:rsid wsp:val=&quot;007C1724&quot;/&gt;&lt;wsp:rsid wsp:val=&quot;007C1DA9&quot;/&gt;&lt;wsp:rsid wsp:val=&quot;007C2867&quot;/&gt;&lt;wsp:rsid wsp:val=&quot;007C3E1B&quot;/&gt;&lt;wsp:rsid wsp:val=&quot;007C41AC&quot;/&gt;&lt;wsp:rsid wsp:val=&quot;007C5DBF&quot;/&gt;&lt;wsp:rsid wsp:val=&quot;007C5DFF&quot;/&gt;&lt;wsp:rsid wsp:val=&quot;007C5EC2&quot;/&gt;&lt;wsp:rsid wsp:val=&quot;007C649B&quot;/&gt;&lt;wsp:rsid wsp:val=&quot;007C712D&quot;/&gt;&lt;wsp:rsid wsp:val=&quot;007C71FA&quot;/&gt;&lt;wsp:rsid wsp:val=&quot;007C78A2&quot;/&gt;&lt;wsp:rsid wsp:val=&quot;007D014B&quot;/&gt;&lt;wsp:rsid wsp:val=&quot;007D1233&quot;/&gt;&lt;wsp:rsid wsp:val=&quot;007D21D3&quot;/&gt;&lt;wsp:rsid wsp:val=&quot;007D24C4&quot;/&gt;&lt;wsp:rsid wsp:val=&quot;007D25E5&quot;/&gt;&lt;wsp:rsid wsp:val=&quot;007D58F0&quot;/&gt;&lt;wsp:rsid wsp:val=&quot;007D65FD&quot;/&gt;&lt;wsp:rsid wsp:val=&quot;007D6F52&quot;/&gt;&lt;wsp:rsid wsp:val=&quot;007D7841&quot;/&gt;&lt;wsp:rsid wsp:val=&quot;007E00A4&quot;/&gt;&lt;wsp:rsid wsp:val=&quot;007E0578&quot;/&gt;&lt;wsp:rsid wsp:val=&quot;007E0A0D&quot;/&gt;&lt;wsp:rsid wsp:val=&quot;007E0DB4&quot;/&gt;&lt;wsp:rsid wsp:val=&quot;007E132B&quot;/&gt;&lt;wsp:rsid wsp:val=&quot;007E289D&quot;/&gt;&lt;wsp:rsid wsp:val=&quot;007E29B8&quot;/&gt;&lt;wsp:rsid wsp:val=&quot;007E325F&quot;/&gt;&lt;wsp:rsid wsp:val=&quot;007E3965&quot;/&gt;&lt;wsp:rsid wsp:val=&quot;007E76E4&quot;/&gt;&lt;wsp:rsid wsp:val=&quot;007E7928&quot;/&gt;&lt;wsp:rsid wsp:val=&quot;007E7B60&quot;/&gt;&lt;wsp:rsid wsp:val=&quot;007F08CD&quot;/&gt;&lt;wsp:rsid wsp:val=&quot;007F0BD0&quot;/&gt;&lt;wsp:rsid wsp:val=&quot;007F148A&quot;/&gt;&lt;wsp:rsid wsp:val=&quot;007F16E4&quot;/&gt;&lt;wsp:rsid wsp:val=&quot;007F1EF5&quot;/&gt;&lt;wsp:rsid wsp:val=&quot;007F2164&quot;/&gt;&lt;wsp:rsid wsp:val=&quot;007F2663&quot;/&gt;&lt;wsp:rsid wsp:val=&quot;007F28FE&quot;/&gt;&lt;wsp:rsid wsp:val=&quot;007F32E1&quot;/&gt;&lt;wsp:rsid wsp:val=&quot;007F3AF2&quot;/&gt;&lt;wsp:rsid wsp:val=&quot;007F4751&quot;/&gt;&lt;wsp:rsid wsp:val=&quot;007F4DEB&quot;/&gt;&lt;wsp:rsid wsp:val=&quot;007F5273&quot;/&gt;&lt;wsp:rsid wsp:val=&quot;007F5861&quot;/&gt;&lt;wsp:rsid wsp:val=&quot;007F5A6C&quot;/&gt;&lt;wsp:rsid wsp:val=&quot;007F5F9A&quot;/&gt;&lt;wsp:rsid wsp:val=&quot;007F6085&quot;/&gt;&lt;wsp:rsid wsp:val=&quot;007F6A11&quot;/&gt;&lt;wsp:rsid wsp:val=&quot;007F6BF9&quot;/&gt;&lt;wsp:rsid wsp:val=&quot;007F6DA9&quot;/&gt;&lt;wsp:rsid wsp:val=&quot;007F7723&quot;/&gt;&lt;wsp:rsid wsp:val=&quot;007F7AC6&quot;/&gt;&lt;wsp:rsid wsp:val=&quot;008008F4&quot;/&gt;&lt;wsp:rsid wsp:val=&quot;008012A1&quot;/&gt;&lt;wsp:rsid wsp:val=&quot;008015E7&quot;/&gt;&lt;wsp:rsid wsp:val=&quot;008016E8&quot;/&gt;&lt;wsp:rsid wsp:val=&quot;00801FCE&quot;/&gt;&lt;wsp:rsid wsp:val=&quot;00802A27&quot;/&gt;&lt;wsp:rsid wsp:val=&quot;0080314F&quot;/&gt;&lt;wsp:rsid wsp:val=&quot;00803A8E&quot;/&gt;&lt;wsp:rsid wsp:val=&quot;00804F50&quot;/&gt;&lt;wsp:rsid wsp:val=&quot;0080530D&quot;/&gt;&lt;wsp:rsid wsp:val=&quot;008069FC&quot;/&gt;&lt;wsp:rsid wsp:val=&quot;00806FDE&quot;/&gt;&lt;wsp:rsid wsp:val=&quot;00807355&quot;/&gt;&lt;wsp:rsid wsp:val=&quot;00807A07&quot;/&gt;&lt;wsp:rsid wsp:val=&quot;00807A49&quot;/&gt;&lt;wsp:rsid wsp:val=&quot;00807CDB&quot;/&gt;&lt;wsp:rsid wsp:val=&quot;00807FD6&quot;/&gt;&lt;wsp:rsid wsp:val=&quot;00807FFD&quot;/&gt;&lt;wsp:rsid wsp:val=&quot;00811268&quot;/&gt;&lt;wsp:rsid wsp:val=&quot;00811480&quot;/&gt;&lt;wsp:rsid wsp:val=&quot;00812AF5&quot;/&gt;&lt;wsp:rsid wsp:val=&quot;00813964&quot;/&gt;&lt;wsp:rsid wsp:val=&quot;00813F7D&quot;/&gt;&lt;wsp:rsid wsp:val=&quot;00815302&quot;/&gt;&lt;wsp:rsid wsp:val=&quot;00815488&quot;/&gt;&lt;wsp:rsid wsp:val=&quot;00816D31&quot;/&gt;&lt;wsp:rsid wsp:val=&quot;00817A8B&quot;/&gt;&lt;wsp:rsid wsp:val=&quot;00817AA7&quot;/&gt;&lt;wsp:rsid wsp:val=&quot;00817C86&quot;/&gt;&lt;wsp:rsid wsp:val=&quot;00817ED0&quot;/&gt;&lt;wsp:rsid wsp:val=&quot;0082129B&quot;/&gt;&lt;wsp:rsid wsp:val=&quot;008212BD&quot;/&gt;&lt;wsp:rsid wsp:val=&quot;008217E2&quot;/&gt;&lt;wsp:rsid wsp:val=&quot;00821854&quot;/&gt;&lt;wsp:rsid wsp:val=&quot;0082189C&quot;/&gt;&lt;wsp:rsid wsp:val=&quot;00821DC8&quot;/&gt;&lt;wsp:rsid wsp:val=&quot;008220FE&quot;/&gt;&lt;wsp:rsid wsp:val=&quot;00822608&quot;/&gt;&lt;wsp:rsid wsp:val=&quot;00822FF9&quot;/&gt;&lt;wsp:rsid wsp:val=&quot;00824106&quot;/&gt;&lt;wsp:rsid wsp:val=&quot;0082484F&quot;/&gt;&lt;wsp:rsid wsp:val=&quot;00824D26&quot;/&gt;&lt;wsp:rsid wsp:val=&quot;00824D91&quot;/&gt;&lt;wsp:rsid wsp:val=&quot;00826B7C&quot;/&gt;&lt;wsp:rsid wsp:val=&quot;00826C90&quot;/&gt;&lt;wsp:rsid wsp:val=&quot;00827213&quot;/&gt;&lt;wsp:rsid wsp:val=&quot;008274C0&quot;/&gt;&lt;wsp:rsid wsp:val=&quot;008276E3&quot;/&gt;&lt;wsp:rsid wsp:val=&quot;008311B7&quot;/&gt;&lt;wsp:rsid wsp:val=&quot;00831AD3&quot;/&gt;&lt;wsp:rsid wsp:val=&quot;00831D8D&quot;/&gt;&lt;wsp:rsid wsp:val=&quot;008324BA&quot;/&gt;&lt;wsp:rsid wsp:val=&quot;0083253B&quot;/&gt;&lt;wsp:rsid wsp:val=&quot;008325BB&quot;/&gt;&lt;wsp:rsid wsp:val=&quot;008327A0&quot;/&gt;&lt;wsp:rsid wsp:val=&quot;008327E5&quot;/&gt;&lt;wsp:rsid wsp:val=&quot;00832884&quot;/&gt;&lt;wsp:rsid wsp:val=&quot;00833523&quot;/&gt;&lt;wsp:rsid wsp:val=&quot;00833A18&quot;/&gt;&lt;wsp:rsid wsp:val=&quot;00833E04&quot;/&gt;&lt;wsp:rsid wsp:val=&quot;00834273&quot;/&gt;&lt;wsp:rsid wsp:val=&quot;00834D02&quot;/&gt;&lt;wsp:rsid wsp:val=&quot;00834FA6&quot;/&gt;&lt;wsp:rsid wsp:val=&quot;00835118&quot;/&gt;&lt;wsp:rsid wsp:val=&quot;008359BD&quot;/&gt;&lt;wsp:rsid wsp:val=&quot;00836A33&quot;/&gt;&lt;wsp:rsid wsp:val=&quot;008371B9&quot;/&gt;&lt;wsp:rsid wsp:val=&quot;00840BC0&quot;/&gt;&lt;wsp:rsid wsp:val=&quot;00840F67&quot;/&gt;&lt;wsp:rsid wsp:val=&quot;00841D97&quot;/&gt;&lt;wsp:rsid wsp:val=&quot;008421C9&quot;/&gt;&lt;wsp:rsid wsp:val=&quot;00842B89&quot;/&gt;&lt;wsp:rsid wsp:val=&quot;008433AD&quot;/&gt;&lt;wsp:rsid wsp:val=&quot;00843B94&quot;/&gt;&lt;wsp:rsid wsp:val=&quot;00844099&quot;/&gt;&lt;wsp:rsid wsp:val=&quot;00844A62&quot;/&gt;&lt;wsp:rsid wsp:val=&quot;00844CC3&quot;/&gt;&lt;wsp:rsid wsp:val=&quot;00845A0C&quot;/&gt;&lt;wsp:rsid wsp:val=&quot;00845AFF&quot;/&gt;&lt;wsp:rsid wsp:val=&quot;00846130&quot;/&gt;&lt;wsp:rsid wsp:val=&quot;008473D9&quot;/&gt;&lt;wsp:rsid wsp:val=&quot;00847809&quot;/&gt;&lt;wsp:rsid wsp:val=&quot;00850103&quot;/&gt;&lt;wsp:rsid wsp:val=&quot;008509E9&quot;/&gt;&lt;wsp:rsid wsp:val=&quot;00850B35&quot;/&gt;&lt;wsp:rsid wsp:val=&quot;008513F0&quot;/&gt;&lt;wsp:rsid wsp:val=&quot;00853990&quot;/&gt;&lt;wsp:rsid wsp:val=&quot;008548B6&quot;/&gt;&lt;wsp:rsid wsp:val=&quot;00854920&quot;/&gt;&lt;wsp:rsid wsp:val=&quot;00854C50&quot;/&gt;&lt;wsp:rsid wsp:val=&quot;00855279&quot;/&gt;&lt;wsp:rsid wsp:val=&quot;00855670&quot;/&gt;&lt;wsp:rsid wsp:val=&quot;008559BD&quot;/&gt;&lt;wsp:rsid wsp:val=&quot;00855E91&quot;/&gt;&lt;wsp:rsid wsp:val=&quot;008561FC&quot;/&gt;&lt;wsp:rsid wsp:val=&quot;00856401&quot;/&gt;&lt;wsp:rsid wsp:val=&quot;00856583&quot;/&gt;&lt;wsp:rsid wsp:val=&quot;008577F6&quot;/&gt;&lt;wsp:rsid wsp:val=&quot;00857DB7&quot;/&gt;&lt;wsp:rsid wsp:val=&quot;00857FD3&quot;/&gt;&lt;wsp:rsid wsp:val=&quot;0086020F&quot;/&gt;&lt;wsp:rsid wsp:val=&quot;0086069A&quot;/&gt;&lt;wsp:rsid wsp:val=&quot;00860A8A&quot;/&gt;&lt;wsp:rsid wsp:val=&quot;00861A12&quot;/&gt;&lt;wsp:rsid wsp:val=&quot;00862BFB&quot;/&gt;&lt;wsp:rsid wsp:val=&quot;00862EAB&quot;/&gt;&lt;wsp:rsid wsp:val=&quot;008634BF&quot;/&gt;&lt;wsp:rsid wsp:val=&quot;0086364F&quot;/&gt;&lt;wsp:rsid wsp:val=&quot;00864111&quot;/&gt;&lt;wsp:rsid wsp:val=&quot;008647B0&quot;/&gt;&lt;wsp:rsid wsp:val=&quot;008650FB&quot;/&gt;&lt;wsp:rsid wsp:val=&quot;00865CFA&quot;/&gt;&lt;wsp:rsid wsp:val=&quot;0086623E&quot;/&gt;&lt;wsp:rsid wsp:val=&quot;00866360&quot;/&gt;&lt;wsp:rsid wsp:val=&quot;00866B20&quot;/&gt;&lt;wsp:rsid wsp:val=&quot;008678B5&quot;/&gt;&lt;wsp:rsid wsp:val=&quot;008701A3&quot;/&gt;&lt;wsp:rsid wsp:val=&quot;00871BB9&quot;/&gt;&lt;wsp:rsid wsp:val=&quot;00872B62&quot;/&gt;&lt;wsp:rsid wsp:val=&quot;00872C89&quot;/&gt;&lt;wsp:rsid wsp:val=&quot;00873750&quot;/&gt;&lt;wsp:rsid wsp:val=&quot;00873794&quot;/&gt;&lt;wsp:rsid wsp:val=&quot;00874024&quot;/&gt;&lt;wsp:rsid wsp:val=&quot;00874F26&quot;/&gt;&lt;wsp:rsid wsp:val=&quot;00875457&quot;/&gt;&lt;wsp:rsid wsp:val=&quot;008759B2&quot;/&gt;&lt;wsp:rsid wsp:val=&quot;00875C35&quot;/&gt;&lt;wsp:rsid wsp:val=&quot;00875D71&quot;/&gt;&lt;wsp:rsid wsp:val=&quot;00876904&quot;/&gt;&lt;wsp:rsid wsp:val=&quot;00876C9B&quot;/&gt;&lt;wsp:rsid wsp:val=&quot;00876D13&quot;/&gt;&lt;wsp:rsid wsp:val=&quot;0087739D&quot;/&gt;&lt;wsp:rsid wsp:val=&quot;00880235&quot;/&gt;&lt;wsp:rsid wsp:val=&quot;008807DB&quot;/&gt;&lt;wsp:rsid wsp:val=&quot;00880CB0&quot;/&gt;&lt;wsp:rsid wsp:val=&quot;0088237B&quot;/&gt;&lt;wsp:rsid wsp:val=&quot;00883DD6&quot;/&gt;&lt;wsp:rsid wsp:val=&quot;0088445F&quot;/&gt;&lt;wsp:rsid wsp:val=&quot;00884A28&quot;/&gt;&lt;wsp:rsid wsp:val=&quot;0088505A&quot;/&gt;&lt;wsp:rsid wsp:val=&quot;00887C1E&quot;/&gt;&lt;wsp:rsid wsp:val=&quot;00887D39&quot;/&gt;&lt;wsp:rsid wsp:val=&quot;00890508&quot;/&gt;&lt;wsp:rsid wsp:val=&quot;0089088A&quot;/&gt;&lt;wsp:rsid wsp:val=&quot;00890A83&quot;/&gt;&lt;wsp:rsid wsp:val=&quot;00890FC9&quot;/&gt;&lt;wsp:rsid wsp:val=&quot;00891DC5&quot;/&gt;&lt;wsp:rsid wsp:val=&quot;0089203F&quot;/&gt;&lt;wsp:rsid wsp:val=&quot;00892871&quot;/&gt;&lt;wsp:rsid wsp:val=&quot;0089301A&quot;/&gt;&lt;wsp:rsid wsp:val=&quot;008931E6&quot;/&gt;&lt;wsp:rsid wsp:val=&quot;008941E1&quot;/&gt;&lt;wsp:rsid wsp:val=&quot;008944C7&quot;/&gt;&lt;wsp:rsid wsp:val=&quot;008947B0&quot;/&gt;&lt;wsp:rsid wsp:val=&quot;0089593B&quot;/&gt;&lt;wsp:rsid wsp:val=&quot;00895B75&quot;/&gt;&lt;wsp:rsid wsp:val=&quot;00896BA2&quot;/&gt;&lt;wsp:rsid wsp:val=&quot;00897A0C&quot;/&gt;&lt;wsp:rsid wsp:val=&quot;008A0C09&quot;/&gt;&lt;wsp:rsid wsp:val=&quot;008A1026&quot;/&gt;&lt;wsp:rsid wsp:val=&quot;008A107E&quot;/&gt;&lt;wsp:rsid wsp:val=&quot;008A1543&quot;/&gt;&lt;wsp:rsid wsp:val=&quot;008A2C61&quot;/&gt;&lt;wsp:rsid wsp:val=&quot;008A3A2B&quot;/&gt;&lt;wsp:rsid wsp:val=&quot;008A47D5&quot;/&gt;&lt;wsp:rsid wsp:val=&quot;008A4AE4&quot;/&gt;&lt;wsp:rsid wsp:val=&quot;008A54C5&quot;/&gt;&lt;wsp:rsid wsp:val=&quot;008A5552&quot;/&gt;&lt;wsp:rsid wsp:val=&quot;008A6044&quot;/&gt;&lt;wsp:rsid wsp:val=&quot;008A60EB&quot;/&gt;&lt;wsp:rsid wsp:val=&quot;008A62C9&quot;/&gt;&lt;wsp:rsid wsp:val=&quot;008A63B3&quot;/&gt;&lt;wsp:rsid wsp:val=&quot;008A64FE&quot;/&gt;&lt;wsp:rsid wsp:val=&quot;008A6D4D&quot;/&gt;&lt;wsp:rsid wsp:val=&quot;008A6DFD&quot;/&gt;&lt;wsp:rsid wsp:val=&quot;008A7B1F&quot;/&gt;&lt;wsp:rsid wsp:val=&quot;008B05EF&quot;/&gt;&lt;wsp:rsid wsp:val=&quot;008B1006&quot;/&gt;&lt;wsp:rsid wsp:val=&quot;008B1C7B&quot;/&gt;&lt;wsp:rsid wsp:val=&quot;008B22AB&quot;/&gt;&lt;wsp:rsid wsp:val=&quot;008B2C3F&quot;/&gt;&lt;wsp:rsid wsp:val=&quot;008B2FCF&quot;/&gt;&lt;wsp:rsid wsp:val=&quot;008B32B7&quot;/&gt;&lt;wsp:rsid wsp:val=&quot;008B35FF&quot;/&gt;&lt;wsp:rsid wsp:val=&quot;008B36B3&quot;/&gt;&lt;wsp:rsid wsp:val=&quot;008B383A&quot;/&gt;&lt;wsp:rsid wsp:val=&quot;008B3CA4&quot;/&gt;&lt;wsp:rsid wsp:val=&quot;008B3F4C&quot;/&gt;&lt;wsp:rsid wsp:val=&quot;008B4EAC&quot;/&gt;&lt;wsp:rsid wsp:val=&quot;008B54A9&quot;/&gt;&lt;wsp:rsid wsp:val=&quot;008B5D1D&quot;/&gt;&lt;wsp:rsid wsp:val=&quot;008B62A0&quot;/&gt;&lt;wsp:rsid wsp:val=&quot;008B64BC&quot;/&gt;&lt;wsp:rsid wsp:val=&quot;008C0319&quot;/&gt;&lt;wsp:rsid wsp:val=&quot;008C0F03&quot;/&gt;&lt;wsp:rsid wsp:val=&quot;008C13C0&quot;/&gt;&lt;wsp:rsid wsp:val=&quot;008C142E&quot;/&gt;&lt;wsp:rsid wsp:val=&quot;008C1ED9&quot;/&gt;&lt;wsp:rsid wsp:val=&quot;008C2254&quot;/&gt;&lt;wsp:rsid wsp:val=&quot;008C335B&quot;/&gt;&lt;wsp:rsid wsp:val=&quot;008C339D&quot;/&gt;&lt;wsp:rsid wsp:val=&quot;008C372E&quot;/&gt;&lt;wsp:rsid wsp:val=&quot;008C3773&quot;/&gt;&lt;wsp:rsid wsp:val=&quot;008C3B19&quot;/&gt;&lt;wsp:rsid wsp:val=&quot;008C3E4F&quot;/&gt;&lt;wsp:rsid wsp:val=&quot;008C48EC&quot;/&gt;&lt;wsp:rsid wsp:val=&quot;008C4E60&quot;/&gt;&lt;wsp:rsid wsp:val=&quot;008C4F51&quot;/&gt;&lt;wsp:rsid wsp:val=&quot;008C501C&quot;/&gt;&lt;wsp:rsid wsp:val=&quot;008C5CA9&quot;/&gt;&lt;wsp:rsid wsp:val=&quot;008C6040&quot;/&gt;&lt;wsp:rsid wsp:val=&quot;008C61B3&quot;/&gt;&lt;wsp:rsid wsp:val=&quot;008C6324&quot;/&gt;&lt;wsp:rsid wsp:val=&quot;008C6C23&quot;/&gt;&lt;wsp:rsid wsp:val=&quot;008C78AB&quot;/&gt;&lt;wsp:rsid wsp:val=&quot;008C7AC0&quot;/&gt;&lt;wsp:rsid wsp:val=&quot;008C7DB3&quot;/&gt;&lt;wsp:rsid wsp:val=&quot;008D02B5&quot;/&gt;&lt;wsp:rsid wsp:val=&quot;008D0633&quot;/&gt;&lt;wsp:rsid wsp:val=&quot;008D1068&quot;/&gt;&lt;wsp:rsid wsp:val=&quot;008D1313&quot;/&gt;&lt;wsp:rsid wsp:val=&quot;008D1A8D&quot;/&gt;&lt;wsp:rsid wsp:val=&quot;008D1DEB&quot;/&gt;&lt;wsp:rsid wsp:val=&quot;008D20C8&quot;/&gt;&lt;wsp:rsid wsp:val=&quot;008D2A69&quot;/&gt;&lt;wsp:rsid wsp:val=&quot;008D38AF&quot;/&gt;&lt;wsp:rsid wsp:val=&quot;008D4449&quot;/&gt;&lt;wsp:rsid wsp:val=&quot;008D479E&quot;/&gt;&lt;wsp:rsid wsp:val=&quot;008D5E5E&quot;/&gt;&lt;wsp:rsid wsp:val=&quot;008D60F3&quot;/&gt;&lt;wsp:rsid wsp:val=&quot;008D7540&quot;/&gt;&lt;wsp:rsid wsp:val=&quot;008D7EE9&quot;/&gt;&lt;wsp:rsid wsp:val=&quot;008E13C7&quot;/&gt;&lt;wsp:rsid wsp:val=&quot;008E178F&quot;/&gt;&lt;wsp:rsid wsp:val=&quot;008E1928&quot;/&gt;&lt;wsp:rsid wsp:val=&quot;008E1A87&quot;/&gt;&lt;wsp:rsid wsp:val=&quot;008E1D0E&quot;/&gt;&lt;wsp:rsid wsp:val=&quot;008E224C&quot;/&gt;&lt;wsp:rsid wsp:val=&quot;008E2ADD&quot;/&gt;&lt;wsp:rsid wsp:val=&quot;008E2E8D&quot;/&gt;&lt;wsp:rsid wsp:val=&quot;008E3345&quot;/&gt;&lt;wsp:rsid wsp:val=&quot;008E411E&quot;/&gt;&lt;wsp:rsid wsp:val=&quot;008E48E4&quot;/&gt;&lt;wsp:rsid wsp:val=&quot;008E4A2B&quot;/&gt;&lt;wsp:rsid wsp:val=&quot;008E4DFB&quot;/&gt;&lt;wsp:rsid wsp:val=&quot;008E5CD1&quot;/&gt;&lt;wsp:rsid wsp:val=&quot;008E5D9D&quot;/&gt;&lt;wsp:rsid wsp:val=&quot;008E6005&quot;/&gt;&lt;wsp:rsid wsp:val=&quot;008E66A4&quot;/&gt;&lt;wsp:rsid wsp:val=&quot;008E6AFD&quot;/&gt;&lt;wsp:rsid wsp:val=&quot;008E6C6C&quot;/&gt;&lt;wsp:rsid wsp:val=&quot;008E75A7&quot;/&gt;&lt;wsp:rsid wsp:val=&quot;008E7B82&quot;/&gt;&lt;wsp:rsid wsp:val=&quot;008E7CF5&quot;/&gt;&lt;wsp:rsid wsp:val=&quot;008F03BB&quot;/&gt;&lt;wsp:rsid wsp:val=&quot;008F1220&quot;/&gt;&lt;wsp:rsid wsp:val=&quot;008F2009&quot;/&gt;&lt;wsp:rsid wsp:val=&quot;008F3B06&quot;/&gt;&lt;wsp:rsid wsp:val=&quot;008F4BFF&quot;/&gt;&lt;wsp:rsid wsp:val=&quot;008F5451&quot;/&gt;&lt;wsp:rsid wsp:val=&quot;008F55B7&quot;/&gt;&lt;wsp:rsid wsp:val=&quot;008F60BE&quot;/&gt;&lt;wsp:rsid wsp:val=&quot;008F610A&quot;/&gt;&lt;wsp:rsid wsp:val=&quot;008F635C&quot;/&gt;&lt;wsp:rsid wsp:val=&quot;008F657D&quot;/&gt;&lt;wsp:rsid wsp:val=&quot;008F663C&quot;/&gt;&lt;wsp:rsid wsp:val=&quot;008F706C&quot;/&gt;&lt;wsp:rsid wsp:val=&quot;008F7481&quot;/&gt;&lt;wsp:rsid wsp:val=&quot;008F769A&quot;/&gt;&lt;wsp:rsid wsp:val=&quot;008F7B3E&quot;/&gt;&lt;wsp:rsid wsp:val=&quot;008F7CF7&quot;/&gt;&lt;wsp:rsid wsp:val=&quot;00900D8C&quot;/&gt;&lt;wsp:rsid wsp:val=&quot;00900FD2&quot;/&gt;&lt;wsp:rsid wsp:val=&quot;0090190F&quot;/&gt;&lt;wsp:rsid wsp:val=&quot;00901B5F&quot;/&gt;&lt;wsp:rsid wsp:val=&quot;00902877&quot;/&gt;&lt;wsp:rsid wsp:val=&quot;00902B2F&quot;/&gt;&lt;wsp:rsid wsp:val=&quot;00903086&quot;/&gt;&lt;wsp:rsid wsp:val=&quot;00903189&quot;/&gt;&lt;wsp:rsid wsp:val=&quot;009046D1&quot;/&gt;&lt;wsp:rsid wsp:val=&quot;00905355&quot;/&gt;&lt;wsp:rsid wsp:val=&quot;00905E24&quot;/&gt;&lt;wsp:rsid wsp:val=&quot;00906815&quot;/&gt;&lt;wsp:rsid wsp:val=&quot;00906A91&quot;/&gt;&lt;wsp:rsid wsp:val=&quot;00910253&quot;/&gt;&lt;wsp:rsid wsp:val=&quot;00910791&quot;/&gt;&lt;wsp:rsid wsp:val=&quot;00911458&quot;/&gt;&lt;wsp:rsid wsp:val=&quot;00911B2F&quot;/&gt;&lt;wsp:rsid wsp:val=&quot;009126AC&quot;/&gt;&lt;wsp:rsid wsp:val=&quot;0091297B&quot;/&gt;&lt;wsp:rsid wsp:val=&quot;00912B8A&quot;/&gt;&lt;wsp:rsid wsp:val=&quot;00913725&quot;/&gt;&lt;wsp:rsid wsp:val=&quot;00913CD8&quot;/&gt;&lt;wsp:rsid wsp:val=&quot;009141AD&quot;/&gt;&lt;wsp:rsid wsp:val=&quot;00914231&quot;/&gt;&lt;wsp:rsid wsp:val=&quot;009143E5&quot;/&gt;&lt;wsp:rsid wsp:val=&quot;009146D6&quot;/&gt;&lt;wsp:rsid wsp:val=&quot;00915644&quot;/&gt;&lt;wsp:rsid wsp:val=&quot;00917BFC&quot;/&gt;&lt;wsp:rsid wsp:val=&quot;009212B4&quot;/&gt;&lt;wsp:rsid wsp:val=&quot;00921615&quot;/&gt;&lt;wsp:rsid wsp:val=&quot;00921C93&quot;/&gt;&lt;wsp:rsid wsp:val=&quot;00921D4C&quot;/&gt;&lt;wsp:rsid wsp:val=&quot;00922431&quot;/&gt;&lt;wsp:rsid wsp:val=&quot;00924F3A&quot;/&gt;&lt;wsp:rsid wsp:val=&quot;00925303&quot;/&gt;&lt;wsp:rsid wsp:val=&quot;00927615&quot;/&gt;&lt;wsp:rsid wsp:val=&quot;00927815&quot;/&gt;&lt;wsp:rsid wsp:val=&quot;00930127&quot;/&gt;&lt;wsp:rsid wsp:val=&quot;00930550&quot;/&gt;&lt;wsp:rsid wsp:val=&quot;00930D17&quot;/&gt;&lt;wsp:rsid wsp:val=&quot;009315A4&quot;/&gt;&lt;wsp:rsid wsp:val=&quot;00931771&quot;/&gt;&lt;wsp:rsid wsp:val=&quot;0093190F&quot;/&gt;&lt;wsp:rsid wsp:val=&quot;00931DD5&quot;/&gt;&lt;wsp:rsid wsp:val=&quot;00931E82&quot;/&gt;&lt;wsp:rsid wsp:val=&quot;009321E4&quot;/&gt;&lt;wsp:rsid wsp:val=&quot;009330E3&quot;/&gt;&lt;wsp:rsid wsp:val=&quot;009332D9&quot;/&gt;&lt;wsp:rsid wsp:val=&quot;0093392F&quot;/&gt;&lt;wsp:rsid wsp:val=&quot;00934385&quot;/&gt;&lt;wsp:rsid wsp:val=&quot;009343E1&quot;/&gt;&lt;wsp:rsid wsp:val=&quot;00934CBA&quot;/&gt;&lt;wsp:rsid wsp:val=&quot;0093545B&quot;/&gt;&lt;wsp:rsid wsp:val=&quot;00935AA4&quot;/&gt;&lt;wsp:rsid wsp:val=&quot;00936551&quot;/&gt;&lt;wsp:rsid wsp:val=&quot;00936C68&quot;/&gt;&lt;wsp:rsid wsp:val=&quot;00937DCC&quot;/&gt;&lt;wsp:rsid wsp:val=&quot;00940F7D&quot;/&gt;&lt;wsp:rsid wsp:val=&quot;0094181E&quot;/&gt;&lt;wsp:rsid wsp:val=&quot;00942074&quot;/&gt;&lt;wsp:rsid wsp:val=&quot;00942304&quot;/&gt;&lt;wsp:rsid wsp:val=&quot;00942D02&quot;/&gt;&lt;wsp:rsid wsp:val=&quot;009435CB&quot;/&gt;&lt;wsp:rsid wsp:val=&quot;00943908&quot;/&gt;&lt;wsp:rsid wsp:val=&quot;00944BC8&quot;/&gt;&lt;wsp:rsid wsp:val=&quot;009457DA&quot;/&gt;&lt;wsp:rsid wsp:val=&quot;00945BE9&quot;/&gt;&lt;wsp:rsid wsp:val=&quot;0094796C&quot;/&gt;&lt;wsp:rsid wsp:val=&quot;00947A5F&quot;/&gt;&lt;wsp:rsid wsp:val=&quot;00947FB4&quot;/&gt;&lt;wsp:rsid wsp:val=&quot;00950DF7&quot;/&gt;&lt;wsp:rsid wsp:val=&quot;0095133C&quot;/&gt;&lt;wsp:rsid wsp:val=&quot;0095151A&quot;/&gt;&lt;wsp:rsid wsp:val=&quot;0095154C&quot;/&gt;&lt;wsp:rsid wsp:val=&quot;009520B3&quot;/&gt;&lt;wsp:rsid wsp:val=&quot;009548B4&quot;/&gt;&lt;wsp:rsid wsp:val=&quot;00955744&quot;/&gt;&lt;wsp:rsid wsp:val=&quot;00955752&quot;/&gt;&lt;wsp:rsid wsp:val=&quot;009573CB&quot;/&gt;&lt;wsp:rsid wsp:val=&quot;00957741&quot;/&gt;&lt;wsp:rsid wsp:val=&quot;0096082E&quot;/&gt;&lt;wsp:rsid wsp:val=&quot;00960B5E&quot;/&gt;&lt;wsp:rsid wsp:val=&quot;00960EBA&quot;/&gt;&lt;wsp:rsid wsp:val=&quot;009612E5&quot;/&gt;&lt;wsp:rsid wsp:val=&quot;009622FB&quot;/&gt;&lt;wsp:rsid wsp:val=&quot;00962341&quot;/&gt;&lt;wsp:rsid wsp:val=&quot;00962536&quot;/&gt;&lt;wsp:rsid wsp:val=&quot;0096403B&quot;/&gt;&lt;wsp:rsid wsp:val=&quot;009645E4&quot;/&gt;&lt;wsp:rsid wsp:val=&quot;00964634&quot;/&gt;&lt;wsp:rsid wsp:val=&quot;00964F2A&quot;/&gt;&lt;wsp:rsid wsp:val=&quot;009652A7&quot;/&gt;&lt;wsp:rsid wsp:val=&quot;00965695&quot;/&gt;&lt;wsp:rsid wsp:val=&quot;009657CB&quot;/&gt;&lt;wsp:rsid wsp:val=&quot;0096657B&quot;/&gt;&lt;wsp:rsid wsp:val=&quot;00967157&quot;/&gt;&lt;wsp:rsid wsp:val=&quot;00967924&quot;/&gt;&lt;wsp:rsid wsp:val=&quot;009708FB&quot;/&gt;&lt;wsp:rsid wsp:val=&quot;00970DDD&quot;/&gt;&lt;wsp:rsid wsp:val=&quot;009713FC&quot;/&gt;&lt;wsp:rsid wsp:val=&quot;009714D8&quot;/&gt;&lt;wsp:rsid wsp:val=&quot;009742A9&quot;/&gt;&lt;wsp:rsid wsp:val=&quot;0097490A&quot;/&gt;&lt;wsp:rsid wsp:val=&quot;009754B0&quot;/&gt;&lt;wsp:rsid wsp:val=&quot;0097609B&quot;/&gt;&lt;wsp:rsid wsp:val=&quot;009763DB&quot;/&gt;&lt;wsp:rsid wsp:val=&quot;00976A47&quot;/&gt;&lt;wsp:rsid wsp:val=&quot;00980BFE&quot;/&gt;&lt;wsp:rsid wsp:val=&quot;00980CD5&quot;/&gt;&lt;wsp:rsid wsp:val=&quot;00981AED&quot;/&gt;&lt;wsp:rsid wsp:val=&quot;00981FDE&quot;/&gt;&lt;wsp:rsid wsp:val=&quot;00982D6F&quot;/&gt;&lt;wsp:rsid wsp:val=&quot;00983C09&quot;/&gt;&lt;wsp:rsid wsp:val=&quot;00983F55&quot;/&gt;&lt;wsp:rsid wsp:val=&quot;009848DE&quot;/&gt;&lt;wsp:rsid wsp:val=&quot;009854DA&quot;/&gt;&lt;wsp:rsid wsp:val=&quot;00986356&quot;/&gt;&lt;wsp:rsid wsp:val=&quot;00987295&quot;/&gt;&lt;wsp:rsid wsp:val=&quot;00987B16&quot;/&gt;&lt;wsp:rsid wsp:val=&quot;00990FAB&quot;/&gt;&lt;wsp:rsid wsp:val=&quot;009913C0&quot;/&gt;&lt;wsp:rsid wsp:val=&quot;0099186D&quot;/&gt;&lt;wsp:rsid wsp:val=&quot;00991C06&quot;/&gt;&lt;wsp:rsid wsp:val=&quot;00991C82&quot;/&gt;&lt;wsp:rsid wsp:val=&quot;00992522&quot;/&gt;&lt;wsp:rsid wsp:val=&quot;00992727&quot;/&gt;&lt;wsp:rsid wsp:val=&quot;009928CF&quot;/&gt;&lt;wsp:rsid wsp:val=&quot;00992AEC&quot;/&gt;&lt;wsp:rsid wsp:val=&quot;00993765&quot;/&gt;&lt;wsp:rsid wsp:val=&quot;009939F9&quot;/&gt;&lt;wsp:rsid wsp:val=&quot;00993BE7&quot;/&gt;&lt;wsp:rsid wsp:val=&quot;00995134&quot;/&gt;&lt;wsp:rsid wsp:val=&quot;009954BC&quot;/&gt;&lt;wsp:rsid wsp:val=&quot;00995F15&quot;/&gt;&lt;wsp:rsid wsp:val=&quot;00995F6C&quot;/&gt;&lt;wsp:rsid wsp:val=&quot;009978F6&quot;/&gt;&lt;wsp:rsid wsp:val=&quot;009A02C2&quot;/&gt;&lt;wsp:rsid wsp:val=&quot;009A12BE&quot;/&gt;&lt;wsp:rsid wsp:val=&quot;009A1408&quot;/&gt;&lt;wsp:rsid wsp:val=&quot;009A17B0&quot;/&gt;&lt;wsp:rsid wsp:val=&quot;009A18AE&quot;/&gt;&lt;wsp:rsid wsp:val=&quot;009A1D85&quot;/&gt;&lt;wsp:rsid wsp:val=&quot;009A1F56&quot;/&gt;&lt;wsp:rsid wsp:val=&quot;009A24CC&quot;/&gt;&lt;wsp:rsid wsp:val=&quot;009A3048&quot;/&gt;&lt;wsp:rsid wsp:val=&quot;009A3585&quot;/&gt;&lt;wsp:rsid wsp:val=&quot;009A3C11&quot;/&gt;&lt;wsp:rsid wsp:val=&quot;009A3D0C&quot;/&gt;&lt;wsp:rsid wsp:val=&quot;009A3D7A&quot;/&gt;&lt;wsp:rsid wsp:val=&quot;009A49C4&quot;/&gt;&lt;wsp:rsid wsp:val=&quot;009A5659&quot;/&gt;&lt;wsp:rsid wsp:val=&quot;009A6C89&quot;/&gt;&lt;wsp:rsid wsp:val=&quot;009B006F&quot;/&gt;&lt;wsp:rsid wsp:val=&quot;009B10FA&quot;/&gt;&lt;wsp:rsid wsp:val=&quot;009B112E&quot;/&gt;&lt;wsp:rsid wsp:val=&quot;009B13A0&quot;/&gt;&lt;wsp:rsid wsp:val=&quot;009B1A22&quot;/&gt;&lt;wsp:rsid wsp:val=&quot;009B1A7F&quot;/&gt;&lt;wsp:rsid wsp:val=&quot;009B1B89&quot;/&gt;&lt;wsp:rsid wsp:val=&quot;009B207A&quot;/&gt;&lt;wsp:rsid wsp:val=&quot;009B2F2D&quot;/&gt;&lt;wsp:rsid wsp:val=&quot;009B371C&quot;/&gt;&lt;wsp:rsid wsp:val=&quot;009B546E&quot;/&gt;&lt;wsp:rsid wsp:val=&quot;009B60B2&quot;/&gt;&lt;wsp:rsid wsp:val=&quot;009B62BE&quot;/&gt;&lt;wsp:rsid wsp:val=&quot;009B772D&quot;/&gt;&lt;wsp:rsid wsp:val=&quot;009C0E5F&quot;/&gt;&lt;wsp:rsid wsp:val=&quot;009C11BA&quot;/&gt;&lt;wsp:rsid wsp:val=&quot;009C2B2D&quot;/&gt;&lt;wsp:rsid wsp:val=&quot;009C43B6&quot;/&gt;&lt;wsp:rsid wsp:val=&quot;009C5103&quot;/&gt;&lt;wsp:rsid wsp:val=&quot;009C51C1&quot;/&gt;&lt;wsp:rsid wsp:val=&quot;009C56BD&quot;/&gt;&lt;wsp:rsid wsp:val=&quot;009C5BEA&quot;/&gt;&lt;wsp:rsid wsp:val=&quot;009C644E&quot;/&gt;&lt;wsp:rsid wsp:val=&quot;009C66A3&quot;/&gt;&lt;wsp:rsid wsp:val=&quot;009C68B5&quot;/&gt;&lt;wsp:rsid wsp:val=&quot;009C6C72&quot;/&gt;&lt;wsp:rsid wsp:val=&quot;009C7000&quot;/&gt;&lt;wsp:rsid wsp:val=&quot;009D0551&quot;/&gt;&lt;wsp:rsid wsp:val=&quot;009D1516&quot;/&gt;&lt;wsp:rsid wsp:val=&quot;009D1B6F&quot;/&gt;&lt;wsp:rsid wsp:val=&quot;009D2A0B&quot;/&gt;&lt;wsp:rsid wsp:val=&quot;009D2D0B&quot;/&gt;&lt;wsp:rsid wsp:val=&quot;009D3D24&quot;/&gt;&lt;wsp:rsid wsp:val=&quot;009D41AC&quot;/&gt;&lt;wsp:rsid wsp:val=&quot;009D47EA&quot;/&gt;&lt;wsp:rsid wsp:val=&quot;009D5381&quot;/&gt;&lt;wsp:rsid wsp:val=&quot;009D5A56&quot;/&gt;&lt;wsp:rsid wsp:val=&quot;009D6032&quot;/&gt;&lt;wsp:rsid wsp:val=&quot;009D690D&quot;/&gt;&lt;wsp:rsid wsp:val=&quot;009D7C5B&quot;/&gt;&lt;wsp:rsid wsp:val=&quot;009D7F7A&quot;/&gt;&lt;wsp:rsid wsp:val=&quot;009E0321&quot;/&gt;&lt;wsp:rsid wsp:val=&quot;009E1108&quot;/&gt;&lt;wsp:rsid wsp:val=&quot;009E15D7&quot;/&gt;&lt;wsp:rsid wsp:val=&quot;009E2546&quot;/&gt;&lt;wsp:rsid wsp:val=&quot;009E295A&quot;/&gt;&lt;wsp:rsid wsp:val=&quot;009E316B&quot;/&gt;&lt;wsp:rsid wsp:val=&quot;009E49EA&quot;/&gt;&lt;wsp:rsid wsp:val=&quot;009E5B3F&quot;/&gt;&lt;wsp:rsid wsp:val=&quot;009E649A&quot;/&gt;&lt;wsp:rsid wsp:val=&quot;009E6B6B&quot;/&gt;&lt;wsp:rsid wsp:val=&quot;009E73D9&quot;/&gt;&lt;wsp:rsid wsp:val=&quot;009E73E5&quot;/&gt;&lt;wsp:rsid wsp:val=&quot;009F01D8&quot;/&gt;&lt;wsp:rsid wsp:val=&quot;009F03E5&quot;/&gt;&lt;wsp:rsid wsp:val=&quot;009F120B&quot;/&gt;&lt;wsp:rsid wsp:val=&quot;009F1CC1&quot;/&gt;&lt;wsp:rsid wsp:val=&quot;009F374F&quot;/&gt;&lt;wsp:rsid wsp:val=&quot;009F3888&quot;/&gt;&lt;wsp:rsid wsp:val=&quot;009F3BFF&quot;/&gt;&lt;wsp:rsid wsp:val=&quot;009F45CD&quot;/&gt;&lt;wsp:rsid wsp:val=&quot;009F53BF&quot;/&gt;&lt;wsp:rsid wsp:val=&quot;009F53DA&quot;/&gt;&lt;wsp:rsid wsp:val=&quot;009F5ABA&quot;/&gt;&lt;wsp:rsid wsp:val=&quot;009F62A2&quot;/&gt;&lt;wsp:rsid wsp:val=&quot;009F69C8&quot;/&gt;&lt;wsp:rsid wsp:val=&quot;009F71C7&quot;/&gt;&lt;wsp:rsid wsp:val=&quot;009F77F2&quot;/&gt;&lt;wsp:rsid wsp:val=&quot;009F7E75&quot;/&gt;&lt;wsp:rsid wsp:val=&quot;00A01530&quot;/&gt;&lt;wsp:rsid wsp:val=&quot;00A0246D&quot;/&gt;&lt;wsp:rsid wsp:val=&quot;00A0263E&quot;/&gt;&lt;wsp:rsid wsp:val=&quot;00A02F9C&quot;/&gt;&lt;wsp:rsid wsp:val=&quot;00A0491C&quot;/&gt;&lt;wsp:rsid wsp:val=&quot;00A04E10&quot;/&gt;&lt;wsp:rsid wsp:val=&quot;00A0526B&quot;/&gt;&lt;wsp:rsid wsp:val=&quot;00A05DD5&quot;/&gt;&lt;wsp:rsid wsp:val=&quot;00A06A10&quot;/&gt;&lt;wsp:rsid wsp:val=&quot;00A07126&quot;/&gt;&lt;wsp:rsid wsp:val=&quot;00A0755C&quot;/&gt;&lt;wsp:rsid wsp:val=&quot;00A0792E&quot;/&gt;&lt;wsp:rsid wsp:val=&quot;00A07BBE&quot;/&gt;&lt;wsp:rsid wsp:val=&quot;00A104D4&quot;/&gt;&lt;wsp:rsid wsp:val=&quot;00A1065B&quot;/&gt;&lt;wsp:rsid wsp:val=&quot;00A11563&quot;/&gt;&lt;wsp:rsid wsp:val=&quot;00A1157B&quot;/&gt;&lt;wsp:rsid wsp:val=&quot;00A12FB2&quot;/&gt;&lt;wsp:rsid wsp:val=&quot;00A1368B&quot;/&gt;&lt;wsp:rsid wsp:val=&quot;00A14C3A&quot;/&gt;&lt;wsp:rsid wsp:val=&quot;00A14F45&quot;/&gt;&lt;wsp:rsid wsp:val=&quot;00A14F91&quot;/&gt;&lt;wsp:rsid wsp:val=&quot;00A160EC&quot;/&gt;&lt;wsp:rsid wsp:val=&quot;00A17074&quot;/&gt;&lt;wsp:rsid wsp:val=&quot;00A20823&quot;/&gt;&lt;wsp:rsid wsp:val=&quot;00A20DD8&quot;/&gt;&lt;wsp:rsid wsp:val=&quot;00A21130&quot;/&gt;&lt;wsp:rsid wsp:val=&quot;00A2150E&quot;/&gt;&lt;wsp:rsid wsp:val=&quot;00A21DD7&quot;/&gt;&lt;wsp:rsid wsp:val=&quot;00A2298E&quot;/&gt;&lt;wsp:rsid wsp:val=&quot;00A22AD7&quot;/&gt;&lt;wsp:rsid wsp:val=&quot;00A23126&quot;/&gt;&lt;wsp:rsid wsp:val=&quot;00A232D2&quot;/&gt;&lt;wsp:rsid wsp:val=&quot;00A23517&quot;/&gt;&lt;wsp:rsid wsp:val=&quot;00A23C19&quot;/&gt;&lt;wsp:rsid wsp:val=&quot;00A2403D&quot;/&gt;&lt;wsp:rsid wsp:val=&quot;00A24C09&quot;/&gt;&lt;wsp:rsid wsp:val=&quot;00A2503D&quot;/&gt;&lt;wsp:rsid wsp:val=&quot;00A2504A&quot;/&gt;&lt;wsp:rsid wsp:val=&quot;00A25199&quot;/&gt;&lt;wsp:rsid wsp:val=&quot;00A2528E&quot;/&gt;&lt;wsp:rsid wsp:val=&quot;00A263BF&quot;/&gt;&lt;wsp:rsid wsp:val=&quot;00A26CB4&quot;/&gt;&lt;wsp:rsid wsp:val=&quot;00A27C95&quot;/&gt;&lt;wsp:rsid wsp:val=&quot;00A30891&quot;/&gt;&lt;wsp:rsid wsp:val=&quot;00A30D37&quot;/&gt;&lt;wsp:rsid wsp:val=&quot;00A30F4B&quot;/&gt;&lt;wsp:rsid wsp:val=&quot;00A31558&quot;/&gt;&lt;wsp:rsid wsp:val=&quot;00A31DC1&quot;/&gt;&lt;wsp:rsid wsp:val=&quot;00A31E0D&quot;/&gt;&lt;wsp:rsid wsp:val=&quot;00A320BC&quot;/&gt;&lt;wsp:rsid wsp:val=&quot;00A323EF&quot;/&gt;&lt;wsp:rsid wsp:val=&quot;00A32DBD&quot;/&gt;&lt;wsp:rsid wsp:val=&quot;00A33387&quot;/&gt;&lt;wsp:rsid wsp:val=&quot;00A3399A&quot;/&gt;&lt;wsp:rsid wsp:val=&quot;00A33D2F&quot;/&gt;&lt;wsp:rsid wsp:val=&quot;00A34B0D&quot;/&gt;&lt;wsp:rsid wsp:val=&quot;00A364B0&quot;/&gt;&lt;wsp:rsid wsp:val=&quot;00A36974&quot;/&gt;&lt;wsp:rsid wsp:val=&quot;00A36CFF&quot;/&gt;&lt;wsp:rsid wsp:val=&quot;00A36E2B&quot;/&gt;&lt;wsp:rsid wsp:val=&quot;00A3722C&quot;/&gt;&lt;wsp:rsid wsp:val=&quot;00A3744C&quot;/&gt;&lt;wsp:rsid wsp:val=&quot;00A37E0D&quot;/&gt;&lt;wsp:rsid wsp:val=&quot;00A402E2&quot;/&gt;&lt;wsp:rsid wsp:val=&quot;00A40AEA&quot;/&gt;&lt;wsp:rsid wsp:val=&quot;00A40D24&quot;/&gt;&lt;wsp:rsid wsp:val=&quot;00A40FB9&quot;/&gt;&lt;wsp:rsid wsp:val=&quot;00A435D7&quot;/&gt;&lt;wsp:rsid wsp:val=&quot;00A43697&quot;/&gt;&lt;wsp:rsid wsp:val=&quot;00A43BAF&quot;/&gt;&lt;wsp:rsid wsp:val=&quot;00A45446&quot;/&gt;&lt;wsp:rsid wsp:val=&quot;00A46BB7&quot;/&gt;&lt;wsp:rsid wsp:val=&quot;00A5031D&quot;/&gt;&lt;wsp:rsid wsp:val=&quot;00A50405&quot;/&gt;&lt;wsp:rsid wsp:val=&quot;00A512E3&quot;/&gt;&lt;wsp:rsid wsp:val=&quot;00A51347&quot;/&gt;&lt;wsp:rsid wsp:val=&quot;00A51F70&quot;/&gt;&lt;wsp:rsid wsp:val=&quot;00A52905&quot;/&gt;&lt;wsp:rsid wsp:val=&quot;00A52E5C&quot;/&gt;&lt;wsp:rsid wsp:val=&quot;00A53B26&quot;/&gt;&lt;wsp:rsid wsp:val=&quot;00A542B6&quot;/&gt;&lt;wsp:rsid wsp:val=&quot;00A54413&quot;/&gt;&lt;wsp:rsid wsp:val=&quot;00A54987&quot;/&gt;&lt;wsp:rsid wsp:val=&quot;00A558DC&quot;/&gt;&lt;wsp:rsid wsp:val=&quot;00A55995&quot;/&gt;&lt;wsp:rsid wsp:val=&quot;00A55E58&quot;/&gt;&lt;wsp:rsid wsp:val=&quot;00A55E89&quot;/&gt;&lt;wsp:rsid wsp:val=&quot;00A608BD&quot;/&gt;&lt;wsp:rsid wsp:val=&quot;00A61E8E&quot;/&gt;&lt;wsp:rsid wsp:val=&quot;00A61F18&quot;/&gt;&lt;wsp:rsid wsp:val=&quot;00A62170&quot;/&gt;&lt;wsp:rsid wsp:val=&quot;00A625DE&quot;/&gt;&lt;wsp:rsid wsp:val=&quot;00A629E9&quot;/&gt;&lt;wsp:rsid wsp:val=&quot;00A62A2D&quot;/&gt;&lt;wsp:rsid wsp:val=&quot;00A63347&quot;/&gt;&lt;wsp:rsid wsp:val=&quot;00A638D1&quot;/&gt;&lt;wsp:rsid wsp:val=&quot;00A63B5C&quot;/&gt;&lt;wsp:rsid wsp:val=&quot;00A63BC4&quot;/&gt;&lt;wsp:rsid wsp:val=&quot;00A64B4A&quot;/&gt;&lt;wsp:rsid wsp:val=&quot;00A65415&quot;/&gt;&lt;wsp:rsid wsp:val=&quot;00A66850&quot;/&gt;&lt;wsp:rsid wsp:val=&quot;00A67363&quot;/&gt;&lt;wsp:rsid wsp:val=&quot;00A6786B&quot;/&gt;&lt;wsp:rsid wsp:val=&quot;00A70036&quot;/&gt;&lt;wsp:rsid wsp:val=&quot;00A70483&quot;/&gt;&lt;wsp:rsid wsp:val=&quot;00A70761&quot;/&gt;&lt;wsp:rsid wsp:val=&quot;00A70866&quot;/&gt;&lt;wsp:rsid wsp:val=&quot;00A70E10&quot;/&gt;&lt;wsp:rsid wsp:val=&quot;00A71262&quot;/&gt;&lt;wsp:rsid wsp:val=&quot;00A71349&quot;/&gt;&lt;wsp:rsid wsp:val=&quot;00A71EFB&quot;/&gt;&lt;wsp:rsid wsp:val=&quot;00A726CA&quot;/&gt;&lt;wsp:rsid wsp:val=&quot;00A727DB&quot;/&gt;&lt;wsp:rsid wsp:val=&quot;00A72802&quot;/&gt;&lt;wsp:rsid wsp:val=&quot;00A7474C&quot;/&gt;&lt;wsp:rsid wsp:val=&quot;00A74AD8&quot;/&gt;&lt;wsp:rsid wsp:val=&quot;00A74E5F&quot;/&gt;&lt;wsp:rsid wsp:val=&quot;00A753C3&quot;/&gt;&lt;wsp:rsid wsp:val=&quot;00A75806&quot;/&gt;&lt;wsp:rsid wsp:val=&quot;00A75DD0&quot;/&gt;&lt;wsp:rsid wsp:val=&quot;00A76E34&quot;/&gt;&lt;wsp:rsid wsp:val=&quot;00A77404&quot;/&gt;&lt;wsp:rsid wsp:val=&quot;00A775B8&quot;/&gt;&lt;wsp:rsid wsp:val=&quot;00A77682&quot;/&gt;&lt;wsp:rsid wsp:val=&quot;00A77BEC&quot;/&gt;&lt;wsp:rsid wsp:val=&quot;00A806E1&quot;/&gt;&lt;wsp:rsid wsp:val=&quot;00A81320&quot;/&gt;&lt;wsp:rsid wsp:val=&quot;00A82BA3&quot;/&gt;&lt;wsp:rsid wsp:val=&quot;00A83E14&quot;/&gt;&lt;wsp:rsid wsp:val=&quot;00A8440C&quot;/&gt;&lt;wsp:rsid wsp:val=&quot;00A85070&quot;/&gt;&lt;wsp:rsid wsp:val=&quot;00A850F3&quot;/&gt;&lt;wsp:rsid wsp:val=&quot;00A85341&quot;/&gt;&lt;wsp:rsid wsp:val=&quot;00A85367&quot;/&gt;&lt;wsp:rsid wsp:val=&quot;00A85A2F&quot;/&gt;&lt;wsp:rsid wsp:val=&quot;00A867C3&quot;/&gt;&lt;wsp:rsid wsp:val=&quot;00A868FD&quot;/&gt;&lt;wsp:rsid wsp:val=&quot;00A869DB&quot;/&gt;&lt;wsp:rsid wsp:val=&quot;00A872EC&quot;/&gt;&lt;wsp:rsid wsp:val=&quot;00A87BEA&quot;/&gt;&lt;wsp:rsid wsp:val=&quot;00A90EC5&quot;/&gt;&lt;wsp:rsid wsp:val=&quot;00A90EF8&quot;/&gt;&lt;wsp:rsid wsp:val=&quot;00A90FD1&quot;/&gt;&lt;wsp:rsid wsp:val=&quot;00A92C50&quot;/&gt;&lt;wsp:rsid wsp:val=&quot;00A93A94&quot;/&gt;&lt;wsp:rsid wsp:val=&quot;00A946B6&quot;/&gt;&lt;wsp:rsid wsp:val=&quot;00A9475C&quot;/&gt;&lt;wsp:rsid wsp:val=&quot;00A94D84&quot;/&gt;&lt;wsp:rsid wsp:val=&quot;00A95B8D&quot;/&gt;&lt;wsp:rsid wsp:val=&quot;00A965CC&quot;/&gt;&lt;wsp:rsid wsp:val=&quot;00A97435&quot;/&gt;&lt;wsp:rsid wsp:val=&quot;00A975B5&quot;/&gt;&lt;wsp:rsid wsp:val=&quot;00A9784F&quot;/&gt;&lt;wsp:rsid wsp:val=&quot;00A97EEF&quot;/&gt;&lt;wsp:rsid wsp:val=&quot;00AA00A0&quot;/&gt;&lt;wsp:rsid wsp:val=&quot;00AA0845&quot;/&gt;&lt;wsp:rsid wsp:val=&quot;00AA1F7C&quot;/&gt;&lt;wsp:rsid wsp:val=&quot;00AA2D68&quot;/&gt;&lt;wsp:rsid wsp:val=&quot;00AA30DB&quot;/&gt;&lt;wsp:rsid wsp:val=&quot;00AA396D&quot;/&gt;&lt;wsp:rsid wsp:val=&quot;00AA3B52&quot;/&gt;&lt;wsp:rsid wsp:val=&quot;00AA3F73&quot;/&gt;&lt;wsp:rsid wsp:val=&quot;00AA434E&quot;/&gt;&lt;wsp:rsid wsp:val=&quot;00AA5E1F&quot;/&gt;&lt;wsp:rsid wsp:val=&quot;00AA64A0&quot;/&gt;&lt;wsp:rsid wsp:val=&quot;00AA668D&quot;/&gt;&lt;wsp:rsid wsp:val=&quot;00AA7127&quot;/&gt;&lt;wsp:rsid wsp:val=&quot;00AA727A&quot;/&gt;&lt;wsp:rsid wsp:val=&quot;00AA73E7&quot;/&gt;&lt;wsp:rsid wsp:val=&quot;00AA76F4&quot;/&gt;&lt;wsp:rsid wsp:val=&quot;00AB0120&quot;/&gt;&lt;wsp:rsid wsp:val=&quot;00AB1275&quot;/&gt;&lt;wsp:rsid wsp:val=&quot;00AB2217&quot;/&gt;&lt;wsp:rsid wsp:val=&quot;00AB2337&quot;/&gt;&lt;wsp:rsid wsp:val=&quot;00AB2B1F&quot;/&gt;&lt;wsp:rsid wsp:val=&quot;00AB3EB9&quot;/&gt;&lt;wsp:rsid wsp:val=&quot;00AB4299&quot;/&gt;&lt;wsp:rsid wsp:val=&quot;00AB43EC&quot;/&gt;&lt;wsp:rsid wsp:val=&quot;00AB49FE&quot;/&gt;&lt;wsp:rsid wsp:val=&quot;00AB4DE4&quot;/&gt;&lt;wsp:rsid wsp:val=&quot;00AB59C9&quot;/&gt;&lt;wsp:rsid wsp:val=&quot;00AB66FE&quot;/&gt;&lt;wsp:rsid wsp:val=&quot;00AB6805&quot;/&gt;&lt;wsp:rsid wsp:val=&quot;00AB6D9B&quot;/&gt;&lt;wsp:rsid wsp:val=&quot;00AB6FA9&quot;/&gt;&lt;wsp:rsid wsp:val=&quot;00AB74C2&quot;/&gt;&lt;wsp:rsid wsp:val=&quot;00AC005D&quot;/&gt;&lt;wsp:rsid wsp:val=&quot;00AC0A9D&quot;/&gt;&lt;wsp:rsid wsp:val=&quot;00AC1571&quot;/&gt;&lt;wsp:rsid wsp:val=&quot;00AC1A26&quot;/&gt;&lt;wsp:rsid wsp:val=&quot;00AC1FD4&quot;/&gt;&lt;wsp:rsid wsp:val=&quot;00AC2175&quot;/&gt;&lt;wsp:rsid wsp:val=&quot;00AC36EB&quot;/&gt;&lt;wsp:rsid wsp:val=&quot;00AC38C2&quot;/&gt;&lt;wsp:rsid wsp:val=&quot;00AC3EC7&quot;/&gt;&lt;wsp:rsid wsp:val=&quot;00AC48A3&quot;/&gt;&lt;wsp:rsid wsp:val=&quot;00AC4B1E&quot;/&gt;&lt;wsp:rsid wsp:val=&quot;00AC5067&quot;/&gt;&lt;wsp:rsid wsp:val=&quot;00AC5331&quot;/&gt;&lt;wsp:rsid wsp:val=&quot;00AC5738&quot;/&gt;&lt;wsp:rsid wsp:val=&quot;00AC6328&quot;/&gt;&lt;wsp:rsid wsp:val=&quot;00AC6879&quot;/&gt;&lt;wsp:rsid wsp:val=&quot;00AC69E1&quot;/&gt;&lt;wsp:rsid wsp:val=&quot;00AC783A&quot;/&gt;&lt;wsp:rsid wsp:val=&quot;00AD17DB&quot;/&gt;&lt;wsp:rsid wsp:val=&quot;00AD3262&quot;/&gt;&lt;wsp:rsid wsp:val=&quot;00AD3439&quot;/&gt;&lt;wsp:rsid wsp:val=&quot;00AD3667&quot;/&gt;&lt;wsp:rsid wsp:val=&quot;00AD46EF&quot;/&gt;&lt;wsp:rsid wsp:val=&quot;00AD4B5C&quot;/&gt;&lt;wsp:rsid wsp:val=&quot;00AD5857&quot;/&gt;&lt;wsp:rsid wsp:val=&quot;00AD5894&quot;/&gt;&lt;wsp:rsid wsp:val=&quot;00AD59F4&quot;/&gt;&lt;wsp:rsid wsp:val=&quot;00AD5CFB&quot;/&gt;&lt;wsp:rsid wsp:val=&quot;00AD616B&quot;/&gt;&lt;wsp:rsid wsp:val=&quot;00AD669D&quot;/&gt;&lt;wsp:rsid wsp:val=&quot;00AD6C41&quot;/&gt;&lt;wsp:rsid wsp:val=&quot;00AD6F91&quot;/&gt;&lt;wsp:rsid wsp:val=&quot;00AD75C7&quot;/&gt;&lt;wsp:rsid wsp:val=&quot;00AD78AF&quot;/&gt;&lt;wsp:rsid wsp:val=&quot;00AE1B84&quot;/&gt;&lt;wsp:rsid wsp:val=&quot;00AE1C74&quot;/&gt;&lt;wsp:rsid wsp:val=&quot;00AE1E1C&quot;/&gt;&lt;wsp:rsid wsp:val=&quot;00AE268F&quot;/&gt;&lt;wsp:rsid wsp:val=&quot;00AE28E1&quot;/&gt;&lt;wsp:rsid wsp:val=&quot;00AE3366&quot;/&gt;&lt;wsp:rsid wsp:val=&quot;00AE5D93&quot;/&gt;&lt;wsp:rsid wsp:val=&quot;00AE64D3&quot;/&gt;&lt;wsp:rsid wsp:val=&quot;00AF297C&quot;/&gt;&lt;wsp:rsid wsp:val=&quot;00AF4213&quot;/&gt;&lt;wsp:rsid wsp:val=&quot;00AF443F&quot;/&gt;&lt;wsp:rsid wsp:val=&quot;00AF4496&quot;/&gt;&lt;wsp:rsid wsp:val=&quot;00AF4C78&quot;/&gt;&lt;wsp:rsid wsp:val=&quot;00AF5058&quot;/&gt;&lt;wsp:rsid wsp:val=&quot;00AF5359&quot;/&gt;&lt;wsp:rsid wsp:val=&quot;00AF5C9E&quot;/&gt;&lt;wsp:rsid wsp:val=&quot;00AF5F37&quot;/&gt;&lt;wsp:rsid wsp:val=&quot;00AF747A&quot;/&gt;&lt;wsp:rsid wsp:val=&quot;00AF7B58&quot;/&gt;&lt;wsp:rsid wsp:val=&quot;00B0085A&quot;/&gt;&lt;wsp:rsid wsp:val=&quot;00B0212E&quot;/&gt;&lt;wsp:rsid wsp:val=&quot;00B02574&quot;/&gt;&lt;wsp:rsid wsp:val=&quot;00B03308&quot;/&gt;&lt;wsp:rsid wsp:val=&quot;00B046CE&quot;/&gt;&lt;wsp:rsid wsp:val=&quot;00B047AC&quot;/&gt;&lt;wsp:rsid wsp:val=&quot;00B05FCB&quot;/&gt;&lt;wsp:rsid wsp:val=&quot;00B06873&quot;/&gt;&lt;wsp:rsid wsp:val=&quot;00B06D10&quot;/&gt;&lt;wsp:rsid wsp:val=&quot;00B07220&quot;/&gt;&lt;wsp:rsid wsp:val=&quot;00B074C6&quot;/&gt;&lt;wsp:rsid wsp:val=&quot;00B07EE7&quot;/&gt;&lt;wsp:rsid wsp:val=&quot;00B108C8&quot;/&gt;&lt;wsp:rsid wsp:val=&quot;00B10B6F&quot;/&gt;&lt;wsp:rsid wsp:val=&quot;00B113A2&quot;/&gt;&lt;wsp:rsid wsp:val=&quot;00B1185B&quot;/&gt;&lt;wsp:rsid wsp:val=&quot;00B11870&quot;/&gt;&lt;wsp:rsid wsp:val=&quot;00B12C58&quot;/&gt;&lt;wsp:rsid wsp:val=&quot;00B131F2&quot;/&gt;&lt;wsp:rsid wsp:val=&quot;00B1384B&quot;/&gt;&lt;wsp:rsid wsp:val=&quot;00B13E73&quot;/&gt;&lt;wsp:rsid wsp:val=&quot;00B141E0&quot;/&gt;&lt;wsp:rsid wsp:val=&quot;00B149D4&quot;/&gt;&lt;wsp:rsid wsp:val=&quot;00B16277&quot;/&gt;&lt;wsp:rsid wsp:val=&quot;00B162AD&quot;/&gt;&lt;wsp:rsid wsp:val=&quot;00B1671D&quot;/&gt;&lt;wsp:rsid wsp:val=&quot;00B16733&quot;/&gt;&lt;wsp:rsid wsp:val=&quot;00B16B08&quot;/&gt;&lt;wsp:rsid wsp:val=&quot;00B16F75&quot;/&gt;&lt;wsp:rsid wsp:val=&quot;00B16FBE&quot;/&gt;&lt;wsp:rsid wsp:val=&quot;00B17ABC&quot;/&gt;&lt;wsp:rsid wsp:val=&quot;00B20020&quot;/&gt;&lt;wsp:rsid wsp:val=&quot;00B2089F&quot;/&gt;&lt;wsp:rsid wsp:val=&quot;00B20974&quot;/&gt;&lt;wsp:rsid wsp:val=&quot;00B20DA2&quot;/&gt;&lt;wsp:rsid wsp:val=&quot;00B21002&quot;/&gt;&lt;wsp:rsid wsp:val=&quot;00B21950&quot;/&gt;&lt;wsp:rsid wsp:val=&quot;00B21973&quot;/&gt;&lt;wsp:rsid wsp:val=&quot;00B2242C&quot;/&gt;&lt;wsp:rsid wsp:val=&quot;00B22909&quot;/&gt;&lt;wsp:rsid wsp:val=&quot;00B22A56&quot;/&gt;&lt;wsp:rsid wsp:val=&quot;00B2324A&quot;/&gt;&lt;wsp:rsid wsp:val=&quot;00B239DC&quot;/&gt;&lt;wsp:rsid wsp:val=&quot;00B24835&quot;/&gt;&lt;wsp:rsid wsp:val=&quot;00B24B1B&quot;/&gt;&lt;wsp:rsid wsp:val=&quot;00B24BB6&quot;/&gt;&lt;wsp:rsid wsp:val=&quot;00B25770&quot;/&gt;&lt;wsp:rsid wsp:val=&quot;00B25F95&quot;/&gt;&lt;wsp:rsid wsp:val=&quot;00B2651B&quot;/&gt;&lt;wsp:rsid wsp:val=&quot;00B27359&quot;/&gt;&lt;wsp:rsid wsp:val=&quot;00B27AFA&quot;/&gt;&lt;wsp:rsid wsp:val=&quot;00B30CBC&quot;/&gt;&lt;wsp:rsid wsp:val=&quot;00B31E96&quot;/&gt;&lt;wsp:rsid wsp:val=&quot;00B324C4&quot;/&gt;&lt;wsp:rsid wsp:val=&quot;00B327B9&quot;/&gt;&lt;wsp:rsid wsp:val=&quot;00B32F28&quot;/&gt;&lt;wsp:rsid wsp:val=&quot;00B3306D&quot;/&gt;&lt;wsp:rsid wsp:val=&quot;00B33566&quot;/&gt;&lt;wsp:rsid wsp:val=&quot;00B341D8&quot;/&gt;&lt;wsp:rsid wsp:val=&quot;00B34417&quot;/&gt;&lt;wsp:rsid wsp:val=&quot;00B345CA&quot;/&gt;&lt;wsp:rsid wsp:val=&quot;00B34638&quot;/&gt;&lt;wsp:rsid wsp:val=&quot;00B346C5&quot;/&gt;&lt;wsp:rsid wsp:val=&quot;00B3470E&quot;/&gt;&lt;wsp:rsid wsp:val=&quot;00B35878&quot;/&gt;&lt;wsp:rsid wsp:val=&quot;00B369F0&quot;/&gt;&lt;wsp:rsid wsp:val=&quot;00B37BB4&quot;/&gt;&lt;wsp:rsid wsp:val=&quot;00B37D54&quot;/&gt;&lt;wsp:rsid wsp:val=&quot;00B40366&quot;/&gt;&lt;wsp:rsid wsp:val=&quot;00B40724&quot;/&gt;&lt;wsp:rsid wsp:val=&quot;00B41E7F&quot;/&gt;&lt;wsp:rsid wsp:val=&quot;00B42216&quot;/&gt;&lt;wsp:rsid wsp:val=&quot;00B43DB6&quot;/&gt;&lt;wsp:rsid wsp:val=&quot;00B4413F&quot;/&gt;&lt;wsp:rsid wsp:val=&quot;00B4415F&quot;/&gt;&lt;wsp:rsid wsp:val=&quot;00B44612&quot;/&gt;&lt;wsp:rsid wsp:val=&quot;00B446D3&quot;/&gt;&lt;wsp:rsid wsp:val=&quot;00B45233&quot;/&gt;&lt;wsp:rsid wsp:val=&quot;00B45F57&quot;/&gt;&lt;wsp:rsid wsp:val=&quot;00B46FB0&quot;/&gt;&lt;wsp:rsid wsp:val=&quot;00B471EA&quot;/&gt;&lt;wsp:rsid wsp:val=&quot;00B477EF&quot;/&gt;&lt;wsp:rsid wsp:val=&quot;00B47E3C&quot;/&gt;&lt;wsp:rsid wsp:val=&quot;00B502C8&quot;/&gt;&lt;wsp:rsid wsp:val=&quot;00B5042B&quot;/&gt;&lt;wsp:rsid wsp:val=&quot;00B50591&quot;/&gt;&lt;wsp:rsid wsp:val=&quot;00B5077D&quot;/&gt;&lt;wsp:rsid wsp:val=&quot;00B51B82&quot;/&gt;&lt;wsp:rsid wsp:val=&quot;00B51B9A&quot;/&gt;&lt;wsp:rsid wsp:val=&quot;00B51D8F&quot;/&gt;&lt;wsp:rsid wsp:val=&quot;00B52643&quot;/&gt;&lt;wsp:rsid wsp:val=&quot;00B537AA&quot;/&gt;&lt;wsp:rsid wsp:val=&quot;00B53BE5&quot;/&gt;&lt;wsp:rsid wsp:val=&quot;00B55535&quot;/&gt;&lt;wsp:rsid wsp:val=&quot;00B55D77&quot;/&gt;&lt;wsp:rsid wsp:val=&quot;00B5612B&quot;/&gt;&lt;wsp:rsid wsp:val=&quot;00B56838&quot;/&gt;&lt;wsp:rsid wsp:val=&quot;00B57463&quot;/&gt;&lt;wsp:rsid wsp:val=&quot;00B574D9&quot;/&gt;&lt;wsp:rsid wsp:val=&quot;00B60872&quot;/&gt;&lt;wsp:rsid wsp:val=&quot;00B60996&quot;/&gt;&lt;wsp:rsid wsp:val=&quot;00B612A1&quot;/&gt;&lt;wsp:rsid wsp:val=&quot;00B62C01&quot;/&gt;&lt;wsp:rsid wsp:val=&quot;00B63609&quot;/&gt;&lt;wsp:rsid wsp:val=&quot;00B642CF&quot;/&gt;&lt;wsp:rsid wsp:val=&quot;00B65844&quot;/&gt;&lt;wsp:rsid wsp:val=&quot;00B65B9C&quot;/&gt;&lt;wsp:rsid wsp:val=&quot;00B6707C&quot;/&gt;&lt;wsp:rsid wsp:val=&quot;00B67791&quot;/&gt;&lt;wsp:rsid wsp:val=&quot;00B67A73&quot;/&gt;&lt;wsp:rsid wsp:val=&quot;00B706FA&quot;/&gt;&lt;wsp:rsid wsp:val=&quot;00B70CD5&quot;/&gt;&lt;wsp:rsid wsp:val=&quot;00B71AEC&quot;/&gt;&lt;wsp:rsid wsp:val=&quot;00B71F71&quot;/&gt;&lt;wsp:rsid wsp:val=&quot;00B721F8&quot;/&gt;&lt;wsp:rsid wsp:val=&quot;00B722FC&quot;/&gt;&lt;wsp:rsid wsp:val=&quot;00B72517&quot;/&gt;&lt;wsp:rsid wsp:val=&quot;00B72591&quot;/&gt;&lt;wsp:rsid wsp:val=&quot;00B72761&quot;/&gt;&lt;wsp:rsid wsp:val=&quot;00B73B05&quot;/&gt;&lt;wsp:rsid wsp:val=&quot;00B74008&quot;/&gt;&lt;wsp:rsid wsp:val=&quot;00B740FA&quot;/&gt;&lt;wsp:rsid wsp:val=&quot;00B74E34&quot;/&gt;&lt;wsp:rsid wsp:val=&quot;00B754E7&quot;/&gt;&lt;wsp:rsid wsp:val=&quot;00B76A4D&quot;/&gt;&lt;wsp:rsid wsp:val=&quot;00B77574&quot;/&gt;&lt;wsp:rsid wsp:val=&quot;00B775F1&quot;/&gt;&lt;wsp:rsid wsp:val=&quot;00B77F9A&quot;/&gt;&lt;wsp:rsid wsp:val=&quot;00B80000&quot;/&gt;&lt;wsp:rsid wsp:val=&quot;00B802CD&quot;/&gt;&lt;wsp:rsid wsp:val=&quot;00B803CA&quot;/&gt;&lt;wsp:rsid wsp:val=&quot;00B814CD&quot;/&gt;&lt;wsp:rsid wsp:val=&quot;00B81E3D&quot;/&gt;&lt;wsp:rsid wsp:val=&quot;00B836C7&quot;/&gt;&lt;wsp:rsid wsp:val=&quot;00B8381B&quot;/&gt;&lt;wsp:rsid wsp:val=&quot;00B83A63&quot;/&gt;&lt;wsp:rsid wsp:val=&quot;00B83D1B&quot;/&gt;&lt;wsp:rsid wsp:val=&quot;00B83F03&quot;/&gt;&lt;wsp:rsid wsp:val=&quot;00B84439&quot;/&gt;&lt;wsp:rsid wsp:val=&quot;00B84E8E&quot;/&gt;&lt;wsp:rsid wsp:val=&quot;00B85E72&quot;/&gt;&lt;wsp:rsid wsp:val=&quot;00B85EC0&quot;/&gt;&lt;wsp:rsid wsp:val=&quot;00B861F5&quot;/&gt;&lt;wsp:rsid wsp:val=&quot;00B8689A&quot;/&gt;&lt;wsp:rsid wsp:val=&quot;00B86E55&quot;/&gt;&lt;wsp:rsid wsp:val=&quot;00B87DF0&quot;/&gt;&lt;wsp:rsid wsp:val=&quot;00B901F8&quot;/&gt;&lt;wsp:rsid wsp:val=&quot;00B92167&quot;/&gt;&lt;wsp:rsid wsp:val=&quot;00B92346&quot;/&gt;&lt;wsp:rsid wsp:val=&quot;00B92687&quot;/&gt;&lt;wsp:rsid wsp:val=&quot;00B92E71&quot;/&gt;&lt;wsp:rsid wsp:val=&quot;00B92F12&quot;/&gt;&lt;wsp:rsid wsp:val=&quot;00B93235&quot;/&gt;&lt;wsp:rsid wsp:val=&quot;00B936E0&quot;/&gt;&lt;wsp:rsid wsp:val=&quot;00B94C7B&quot;/&gt;&lt;wsp:rsid wsp:val=&quot;00B952B1&quot;/&gt;&lt;wsp:rsid wsp:val=&quot;00B95442&quot;/&gt;&lt;wsp:rsid wsp:val=&quot;00B95BA5&quot;/&gt;&lt;wsp:rsid wsp:val=&quot;00B95EB1&quot;/&gt;&lt;wsp:rsid wsp:val=&quot;00B9619A&quot;/&gt;&lt;wsp:rsid wsp:val=&quot;00B968B3&quot;/&gt;&lt;wsp:rsid wsp:val=&quot;00B972C9&quot;/&gt;&lt;wsp:rsid wsp:val=&quot;00B973E1&quot;/&gt;&lt;wsp:rsid wsp:val=&quot;00B97F52&quot;/&gt;&lt;wsp:rsid wsp:val=&quot;00BA0F53&quot;/&gt;&lt;wsp:rsid wsp:val=&quot;00BA14CD&quot;/&gt;&lt;wsp:rsid wsp:val=&quot;00BA212B&quot;/&gt;&lt;wsp:rsid wsp:val=&quot;00BA2638&quot;/&gt;&lt;wsp:rsid wsp:val=&quot;00BA27D5&quot;/&gt;&lt;wsp:rsid wsp:val=&quot;00BA404E&quot;/&gt;&lt;wsp:rsid wsp:val=&quot;00BA42FE&quot;/&gt;&lt;wsp:rsid wsp:val=&quot;00BA4A13&quot;/&gt;&lt;wsp:rsid wsp:val=&quot;00BA4E4B&quot;/&gt;&lt;wsp:rsid wsp:val=&quot;00BA4FFF&quot;/&gt;&lt;wsp:rsid wsp:val=&quot;00BA55DF&quot;/&gt;&lt;wsp:rsid wsp:val=&quot;00BA5AB6&quot;/&gt;&lt;wsp:rsid wsp:val=&quot;00BA5DA8&quot;/&gt;&lt;wsp:rsid wsp:val=&quot;00BA61DE&quot;/&gt;&lt;wsp:rsid wsp:val=&quot;00BA7B69&quot;/&gt;&lt;wsp:rsid wsp:val=&quot;00BB0427&quot;/&gt;&lt;wsp:rsid wsp:val=&quot;00BB0C29&quot;/&gt;&lt;wsp:rsid wsp:val=&quot;00BB20B5&quot;/&gt;&lt;wsp:rsid wsp:val=&quot;00BB2951&quot;/&gt;&lt;wsp:rsid wsp:val=&quot;00BB2DF2&quot;/&gt;&lt;wsp:rsid wsp:val=&quot;00BB33BF&quot;/&gt;&lt;wsp:rsid wsp:val=&quot;00BB3522&quot;/&gt;&lt;wsp:rsid wsp:val=&quot;00BB360C&quot;/&gt;&lt;wsp:rsid wsp:val=&quot;00BB4239&quot;/&gt;&lt;wsp:rsid wsp:val=&quot;00BB429E&quot;/&gt;&lt;wsp:rsid wsp:val=&quot;00BB53D1&quot;/&gt;&lt;wsp:rsid wsp:val=&quot;00BB634A&quot;/&gt;&lt;wsp:rsid wsp:val=&quot;00BB6E5D&quot;/&gt;&lt;wsp:rsid wsp:val=&quot;00BB707A&quot;/&gt;&lt;wsp:rsid wsp:val=&quot;00BB730E&quot;/&gt;&lt;wsp:rsid wsp:val=&quot;00BB7BE5&quot;/&gt;&lt;wsp:rsid wsp:val=&quot;00BC0011&quot;/&gt;&lt;wsp:rsid wsp:val=&quot;00BC0751&quot;/&gt;&lt;wsp:rsid wsp:val=&quot;00BC0F40&quot;/&gt;&lt;wsp:rsid wsp:val=&quot;00BC10FE&quot;/&gt;&lt;wsp:rsid wsp:val=&quot;00BC17EF&quot;/&gt;&lt;wsp:rsid wsp:val=&quot;00BC2912&quot;/&gt;&lt;wsp:rsid wsp:val=&quot;00BC2A75&quot;/&gt;&lt;wsp:rsid wsp:val=&quot;00BC32C2&quot;/&gt;&lt;wsp:rsid wsp:val=&quot;00BC37DB&quot;/&gt;&lt;wsp:rsid wsp:val=&quot;00BC42BF&quot;/&gt;&lt;wsp:rsid wsp:val=&quot;00BC45CA&quot;/&gt;&lt;wsp:rsid wsp:val=&quot;00BC476E&quot;/&gt;&lt;wsp:rsid wsp:val=&quot;00BC493D&quot;/&gt;&lt;wsp:rsid wsp:val=&quot;00BC5506&quot;/&gt;&lt;wsp:rsid wsp:val=&quot;00BC5C18&quot;/&gt;&lt;wsp:rsid wsp:val=&quot;00BC61DB&quot;/&gt;&lt;wsp:rsid wsp:val=&quot;00BC68E6&quot;/&gt;&lt;wsp:rsid wsp:val=&quot;00BC6958&quot;/&gt;&lt;wsp:rsid wsp:val=&quot;00BC6B84&quot;/&gt;&lt;wsp:rsid wsp:val=&quot;00BD0CD1&quot;/&gt;&lt;wsp:rsid wsp:val=&quot;00BD198F&quot;/&gt;&lt;wsp:rsid wsp:val=&quot;00BD2340&quot;/&gt;&lt;wsp:rsid wsp:val=&quot;00BD2872&quot;/&gt;&lt;wsp:rsid wsp:val=&quot;00BD2C58&quot;/&gt;&lt;wsp:rsid wsp:val=&quot;00BD2D77&quot;/&gt;&lt;wsp:rsid wsp:val=&quot;00BD2E1C&quot;/&gt;&lt;wsp:rsid wsp:val=&quot;00BD416E&quot;/&gt;&lt;wsp:rsid wsp:val=&quot;00BD46F7&quot;/&gt;&lt;wsp:rsid wsp:val=&quot;00BD5D2D&quot;/&gt;&lt;wsp:rsid wsp:val=&quot;00BD74D8&quot;/&gt;&lt;wsp:rsid wsp:val=&quot;00BD794D&quot;/&gt;&lt;wsp:rsid wsp:val=&quot;00BD7C04&quot;/&gt;&lt;wsp:rsid wsp:val=&quot;00BE04DE&quot;/&gt;&lt;wsp:rsid wsp:val=&quot;00BE1124&quot;/&gt;&lt;wsp:rsid wsp:val=&quot;00BE12EB&quot;/&gt;&lt;wsp:rsid wsp:val=&quot;00BE2E31&quot;/&gt;&lt;wsp:rsid wsp:val=&quot;00BE2EA7&quot;/&gt;&lt;wsp:rsid wsp:val=&quot;00BE46E8&quot;/&gt;&lt;wsp:rsid wsp:val=&quot;00BE49C3&quot;/&gt;&lt;wsp:rsid wsp:val=&quot;00BE49DD&quot;/&gt;&lt;wsp:rsid wsp:val=&quot;00BE62A1&quot;/&gt;&lt;wsp:rsid wsp:val=&quot;00BE69D4&quot;/&gt;&lt;wsp:rsid wsp:val=&quot;00BE7091&quot;/&gt;&lt;wsp:rsid wsp:val=&quot;00BE715A&quot;/&gt;&lt;wsp:rsid wsp:val=&quot;00BE734D&quot;/&gt;&lt;wsp:rsid wsp:val=&quot;00BE74CD&quot;/&gt;&lt;wsp:rsid wsp:val=&quot;00BE7AC4&quot;/&gt;&lt;wsp:rsid wsp:val=&quot;00BE7F99&quot;/&gt;&lt;wsp:rsid wsp:val=&quot;00BF00B7&quot;/&gt;&lt;wsp:rsid wsp:val=&quot;00BF0552&quot;/&gt;&lt;wsp:rsid wsp:val=&quot;00BF0BB1&quot;/&gt;&lt;wsp:rsid wsp:val=&quot;00BF0D32&quot;/&gt;&lt;wsp:rsid wsp:val=&quot;00BF146D&quot;/&gt;&lt;wsp:rsid wsp:val=&quot;00BF2F7C&quot;/&gt;&lt;wsp:rsid wsp:val=&quot;00BF36E2&quot;/&gt;&lt;wsp:rsid wsp:val=&quot;00BF3ED3&quot;/&gt;&lt;wsp:rsid wsp:val=&quot;00BF48A6&quot;/&gt;&lt;wsp:rsid wsp:val=&quot;00BF48CB&quot;/&gt;&lt;wsp:rsid wsp:val=&quot;00BF4B4C&quot;/&gt;&lt;wsp:rsid wsp:val=&quot;00BF5410&quot;/&gt;&lt;wsp:rsid wsp:val=&quot;00BF5521&quot;/&gt;&lt;wsp:rsid wsp:val=&quot;00BF5A0E&quot;/&gt;&lt;wsp:rsid wsp:val=&quot;00C01152&quot;/&gt;&lt;wsp:rsid wsp:val=&quot;00C02345&quot;/&gt;&lt;wsp:rsid wsp:val=&quot;00C0277C&quot;/&gt;&lt;wsp:rsid wsp:val=&quot;00C03747&quot;/&gt;&lt;wsp:rsid wsp:val=&quot;00C03F96&quot;/&gt;&lt;wsp:rsid wsp:val=&quot;00C0471F&quot;/&gt;&lt;wsp:rsid wsp:val=&quot;00C04D10&quot;/&gt;&lt;wsp:rsid wsp:val=&quot;00C04F48&quot;/&gt;&lt;wsp:rsid wsp:val=&quot;00C06E68&quot;/&gt;&lt;wsp:rsid wsp:val=&quot;00C079BA&quot;/&gt;&lt;wsp:rsid wsp:val=&quot;00C07D0A&quot;/&gt;&lt;wsp:rsid wsp:val=&quot;00C07D3A&quot;/&gt;&lt;wsp:rsid wsp:val=&quot;00C11E51&quot;/&gt;&lt;wsp:rsid wsp:val=&quot;00C12F87&quot;/&gt;&lt;wsp:rsid wsp:val=&quot;00C12FF1&quot;/&gt;&lt;wsp:rsid wsp:val=&quot;00C150FE&quot;/&gt;&lt;wsp:rsid wsp:val=&quot;00C156C0&quot;/&gt;&lt;wsp:rsid wsp:val=&quot;00C15C4E&quot;/&gt;&lt;wsp:rsid wsp:val=&quot;00C17741&quot;/&gt;&lt;wsp:rsid wsp:val=&quot;00C17BA6&quot;/&gt;&lt;wsp:rsid wsp:val=&quot;00C2097D&quot;/&gt;&lt;wsp:rsid wsp:val=&quot;00C21368&quot;/&gt;&lt;wsp:rsid wsp:val=&quot;00C21498&quot;/&gt;&lt;wsp:rsid wsp:val=&quot;00C21EC4&quot;/&gt;&lt;wsp:rsid wsp:val=&quot;00C21EDD&quot;/&gt;&lt;wsp:rsid wsp:val=&quot;00C22317&quot;/&gt;&lt;wsp:rsid wsp:val=&quot;00C22881&quot;/&gt;&lt;wsp:rsid wsp:val=&quot;00C22BB5&quot;/&gt;&lt;wsp:rsid wsp:val=&quot;00C2481F&quot;/&gt;&lt;wsp:rsid wsp:val=&quot;00C25715&quot;/&gt;&lt;wsp:rsid wsp:val=&quot;00C26027&quot;/&gt;&lt;wsp:rsid wsp:val=&quot;00C270ED&quot;/&gt;&lt;wsp:rsid wsp:val=&quot;00C277BA&quot;/&gt;&lt;wsp:rsid wsp:val=&quot;00C30056&quot;/&gt;&lt;wsp:rsid wsp:val=&quot;00C308C0&quot;/&gt;&lt;wsp:rsid wsp:val=&quot;00C30CF4&quot;/&gt;&lt;wsp:rsid wsp:val=&quot;00C31A5A&quot;/&gt;&lt;wsp:rsid wsp:val=&quot;00C31AC0&quot;/&gt;&lt;wsp:rsid wsp:val=&quot;00C32913&quot;/&gt;&lt;wsp:rsid wsp:val=&quot;00C33744&quot;/&gt;&lt;wsp:rsid wsp:val=&quot;00C342C7&quot;/&gt;&lt;wsp:rsid wsp:val=&quot;00C34989&quot;/&gt;&lt;wsp:rsid wsp:val=&quot;00C35362&quot;/&gt;&lt;wsp:rsid wsp:val=&quot;00C35C11&quot;/&gt;&lt;wsp:rsid wsp:val=&quot;00C35D8B&quot;/&gt;&lt;wsp:rsid wsp:val=&quot;00C35DD7&quot;/&gt;&lt;wsp:rsid wsp:val=&quot;00C36028&quot;/&gt;&lt;wsp:rsid wsp:val=&quot;00C36449&quot;/&gt;&lt;wsp:rsid wsp:val=&quot;00C370C5&quot;/&gt;&lt;wsp:rsid wsp:val=&quot;00C379AA&quot;/&gt;&lt;wsp:rsid wsp:val=&quot;00C37DDF&quot;/&gt;&lt;wsp:rsid wsp:val=&quot;00C40ACA&quot;/&gt;&lt;wsp:rsid wsp:val=&quot;00C40D11&quot;/&gt;&lt;wsp:rsid wsp:val=&quot;00C40FC8&quot;/&gt;&lt;wsp:rsid wsp:val=&quot;00C4196D&quot;/&gt;&lt;wsp:rsid wsp:val=&quot;00C41CBC&quot;/&gt;&lt;wsp:rsid wsp:val=&quot;00C43F59&quot;/&gt;&lt;wsp:rsid wsp:val=&quot;00C43FC7&quot;/&gt;&lt;wsp:rsid wsp:val=&quot;00C44362&quot;/&gt;&lt;wsp:rsid wsp:val=&quot;00C45134&quot;/&gt;&lt;wsp:rsid wsp:val=&quot;00C45CBC&quot;/&gt;&lt;wsp:rsid wsp:val=&quot;00C46052&quot;/&gt;&lt;wsp:rsid wsp:val=&quot;00C461E6&quot;/&gt;&lt;wsp:rsid wsp:val=&quot;00C46BCD&quot;/&gt;&lt;wsp:rsid wsp:val=&quot;00C47C4A&quot;/&gt;&lt;wsp:rsid wsp:val=&quot;00C5039E&quot;/&gt;&lt;wsp:rsid wsp:val=&quot;00C52896&quot;/&gt;&lt;wsp:rsid wsp:val=&quot;00C52FEA&quot;/&gt;&lt;wsp:rsid wsp:val=&quot;00C538D5&quot;/&gt;&lt;wsp:rsid wsp:val=&quot;00C53E51&quot;/&gt;&lt;wsp:rsid wsp:val=&quot;00C5404E&quot;/&gt;&lt;wsp:rsid wsp:val=&quot;00C54F13&quot;/&gt;&lt;wsp:rsid wsp:val=&quot;00C54FA4&quot;/&gt;&lt;wsp:rsid wsp:val=&quot;00C55FCE&quot;/&gt;&lt;wsp:rsid wsp:val=&quot;00C5620E&quot;/&gt;&lt;wsp:rsid wsp:val=&quot;00C56245&quot;/&gt;&lt;wsp:rsid wsp:val=&quot;00C5630B&quot;/&gt;&lt;wsp:rsid wsp:val=&quot;00C564B1&quot;/&gt;&lt;wsp:rsid wsp:val=&quot;00C567BB&quot;/&gt;&lt;wsp:rsid wsp:val=&quot;00C57513&quot;/&gt;&lt;wsp:rsid wsp:val=&quot;00C57CA0&quot;/&gt;&lt;wsp:rsid wsp:val=&quot;00C60EE8&quot;/&gt;&lt;wsp:rsid wsp:val=&quot;00C61792&quot;/&gt;&lt;wsp:rsid wsp:val=&quot;00C61DF9&quot;/&gt;&lt;wsp:rsid wsp:val=&quot;00C61FD8&quot;/&gt;&lt;wsp:rsid wsp:val=&quot;00C62A64&quot;/&gt;&lt;wsp:rsid wsp:val=&quot;00C62F70&quot;/&gt;&lt;wsp:rsid wsp:val=&quot;00C6300E&quot;/&gt;&lt;wsp:rsid wsp:val=&quot;00C63633&quot;/&gt;&lt;wsp:rsid wsp:val=&quot;00C63BC5&quot;/&gt;&lt;wsp:rsid wsp:val=&quot;00C63BCA&quot;/&gt;&lt;wsp:rsid wsp:val=&quot;00C64A0D&quot;/&gt;&lt;wsp:rsid wsp:val=&quot;00C65027&quot;/&gt;&lt;wsp:rsid wsp:val=&quot;00C657DF&quot;/&gt;&lt;wsp:rsid wsp:val=&quot;00C65869&quot;/&gt;&lt;wsp:rsid wsp:val=&quot;00C665EE&quot;/&gt;&lt;wsp:rsid wsp:val=&quot;00C6731E&quot;/&gt;&lt;wsp:rsid wsp:val=&quot;00C700AF&quot;/&gt;&lt;wsp:rsid wsp:val=&quot;00C71A0A&quot;/&gt;&lt;wsp:rsid wsp:val=&quot;00C724F8&quot;/&gt;&lt;wsp:rsid wsp:val=&quot;00C7297F&quot;/&gt;&lt;wsp:rsid wsp:val=&quot;00C73000&quot;/&gt;&lt;wsp:rsid wsp:val=&quot;00C74CC5&quot;/&gt;&lt;wsp:rsid wsp:val=&quot;00C74CD8&quot;/&gt;&lt;wsp:rsid wsp:val=&quot;00C7510F&quot;/&gt;&lt;wsp:rsid wsp:val=&quot;00C75689&quot;/&gt;&lt;wsp:rsid wsp:val=&quot;00C77639&quot;/&gt;&lt;wsp:rsid wsp:val=&quot;00C77B1E&quot;/&gt;&lt;wsp:rsid wsp:val=&quot;00C77D27&quot;/&gt;&lt;wsp:rsid wsp:val=&quot;00C8006B&quot;/&gt;&lt;wsp:rsid wsp:val=&quot;00C812C0&quot;/&gt;&lt;wsp:rsid wsp:val=&quot;00C81E94&quot;/&gt;&lt;wsp:rsid wsp:val=&quot;00C81F73&quot;/&gt;&lt;wsp:rsid wsp:val=&quot;00C81FD8&quot;/&gt;&lt;wsp:rsid wsp:val=&quot;00C8214A&quot;/&gt;&lt;wsp:rsid wsp:val=&quot;00C82F7C&quot;/&gt;&lt;wsp:rsid wsp:val=&quot;00C82FB4&quot;/&gt;&lt;wsp:rsid wsp:val=&quot;00C833F3&quot;/&gt;&lt;wsp:rsid wsp:val=&quot;00C837CF&quot;/&gt;&lt;wsp:rsid wsp:val=&quot;00C85412&quot;/&gt;&lt;wsp:rsid wsp:val=&quot;00C857BC&quot;/&gt;&lt;wsp:rsid wsp:val=&quot;00C85AE7&quot;/&gt;&lt;wsp:rsid wsp:val=&quot;00C86CC3&quot;/&gt;&lt;wsp:rsid wsp:val=&quot;00C87A88&quot;/&gt;&lt;wsp:rsid wsp:val=&quot;00C87F7C&quot;/&gt;&lt;wsp:rsid wsp:val=&quot;00C901C6&quot;/&gt;&lt;wsp:rsid wsp:val=&quot;00C9043E&quot;/&gt;&lt;wsp:rsid wsp:val=&quot;00C90738&quot;/&gt;&lt;wsp:rsid wsp:val=&quot;00C90A66&quot;/&gt;&lt;wsp:rsid wsp:val=&quot;00C92314&quot;/&gt;&lt;wsp:rsid wsp:val=&quot;00C92C8D&quot;/&gt;&lt;wsp:rsid wsp:val=&quot;00C92EE5&quot;/&gt;&lt;wsp:rsid wsp:val=&quot;00C93F3C&quot;/&gt;&lt;wsp:rsid wsp:val=&quot;00C94BBF&quot;/&gt;&lt;wsp:rsid wsp:val=&quot;00C9590D&quot;/&gt;&lt;wsp:rsid wsp:val=&quot;00C96622&quot;/&gt;&lt;wsp:rsid wsp:val=&quot;00CA122F&quot;/&gt;&lt;wsp:rsid wsp:val=&quot;00CA1C29&quot;/&gt;&lt;wsp:rsid wsp:val=&quot;00CA1C4D&quot;/&gt;&lt;wsp:rsid wsp:val=&quot;00CA2EEC&quot;/&gt;&lt;wsp:rsid wsp:val=&quot;00CA3A7C&quot;/&gt;&lt;wsp:rsid wsp:val=&quot;00CA3AAC&quot;/&gt;&lt;wsp:rsid wsp:val=&quot;00CA4E47&quot;/&gt;&lt;wsp:rsid wsp:val=&quot;00CA513F&quot;/&gt;&lt;wsp:rsid wsp:val=&quot;00CA5EAA&quot;/&gt;&lt;wsp:rsid wsp:val=&quot;00CA7E54&quot;/&gt;&lt;wsp:rsid wsp:val=&quot;00CB07CA&quot;/&gt;&lt;wsp:rsid wsp:val=&quot;00CB0963&quot;/&gt;&lt;wsp:rsid wsp:val=&quot;00CB13E0&quot;/&gt;&lt;wsp:rsid wsp:val=&quot;00CB2D1F&quot;/&gt;&lt;wsp:rsid wsp:val=&quot;00CB3ED8&quot;/&gt;&lt;wsp:rsid wsp:val=&quot;00CB3F87&quot;/&gt;&lt;wsp:rsid wsp:val=&quot;00CB4539&quot;/&gt;&lt;wsp:rsid wsp:val=&quot;00CB54D8&quot;/&gt;&lt;wsp:rsid wsp:val=&quot;00CB5A33&quot;/&gt;&lt;wsp:rsid wsp:val=&quot;00CB7E85&quot;/&gt;&lt;wsp:rsid wsp:val=&quot;00CC08A2&quot;/&gt;&lt;wsp:rsid wsp:val=&quot;00CC115D&quot;/&gt;&lt;wsp:rsid wsp:val=&quot;00CC30C6&quot;/&gt;&lt;wsp:rsid wsp:val=&quot;00CC468B&quot;/&gt;&lt;wsp:rsid wsp:val=&quot;00CC4ACC&quot;/&gt;&lt;wsp:rsid wsp:val=&quot;00CC4B30&quot;/&gt;&lt;wsp:rsid wsp:val=&quot;00CC6495&quot;/&gt;&lt;wsp:rsid wsp:val=&quot;00CC6DE7&quot;/&gt;&lt;wsp:rsid wsp:val=&quot;00CC766B&quot;/&gt;&lt;wsp:rsid wsp:val=&quot;00CD045C&quot;/&gt;&lt;wsp:rsid wsp:val=&quot;00CD180E&quot;/&gt;&lt;wsp:rsid wsp:val=&quot;00CD277E&quot;/&gt;&lt;wsp:rsid wsp:val=&quot;00CD2E96&quot;/&gt;&lt;wsp:rsid wsp:val=&quot;00CD3167&quot;/&gt;&lt;wsp:rsid wsp:val=&quot;00CD3B28&quot;/&gt;&lt;wsp:rsid wsp:val=&quot;00CD3EC1&quot;/&gt;&lt;wsp:rsid wsp:val=&quot;00CD4527&quot;/&gt;&lt;wsp:rsid wsp:val=&quot;00CD5E6C&quot;/&gt;&lt;wsp:rsid wsp:val=&quot;00CD6092&quot;/&gt;&lt;wsp:rsid wsp:val=&quot;00CD61C3&quot;/&gt;&lt;wsp:rsid wsp:val=&quot;00CD6736&quot;/&gt;&lt;wsp:rsid wsp:val=&quot;00CD68CB&quot;/&gt;&lt;wsp:rsid wsp:val=&quot;00CD6CF4&quot;/&gt;&lt;wsp:rsid wsp:val=&quot;00CD78E2&quot;/&gt;&lt;wsp:rsid wsp:val=&quot;00CE01D4&quot;/&gt;&lt;wsp:rsid wsp:val=&quot;00CE020A&quot;/&gt;&lt;wsp:rsid wsp:val=&quot;00CE15F9&quot;/&gt;&lt;wsp:rsid wsp:val=&quot;00CE17CA&quot;/&gt;&lt;wsp:rsid wsp:val=&quot;00CE1B19&quot;/&gt;&lt;wsp:rsid wsp:val=&quot;00CE2511&quot;/&gt;&lt;wsp:rsid wsp:val=&quot;00CE379C&quot;/&gt;&lt;wsp:rsid wsp:val=&quot;00CE3846&quot;/&gt;&lt;wsp:rsid wsp:val=&quot;00CE476D&quot;/&gt;&lt;wsp:rsid wsp:val=&quot;00CE5B57&quot;/&gt;&lt;wsp:rsid wsp:val=&quot;00CE5EC1&quot;/&gt;&lt;wsp:rsid wsp:val=&quot;00CE5EC7&quot;/&gt;&lt;wsp:rsid wsp:val=&quot;00CE71D0&quot;/&gt;&lt;wsp:rsid wsp:val=&quot;00CE728E&quot;/&gt;&lt;wsp:rsid wsp:val=&quot;00CE77A0&quot;/&gt;&lt;wsp:rsid wsp:val=&quot;00CF0F1B&quot;/&gt;&lt;wsp:rsid wsp:val=&quot;00CF1BA5&quot;/&gt;&lt;wsp:rsid wsp:val=&quot;00CF2CC0&quot;/&gt;&lt;wsp:rsid wsp:val=&quot;00CF2FBB&quot;/&gt;&lt;wsp:rsid wsp:val=&quot;00CF3ADF&quot;/&gt;&lt;wsp:rsid wsp:val=&quot;00CF3B6E&quot;/&gt;&lt;wsp:rsid wsp:val=&quot;00CF3C3D&quot;/&gt;&lt;wsp:rsid wsp:val=&quot;00CF54D2&quot;/&gt;&lt;wsp:rsid wsp:val=&quot;00CF69DE&quot;/&gt;&lt;wsp:rsid wsp:val=&quot;00CF6EEE&quot;/&gt;&lt;wsp:rsid wsp:val=&quot;00CF7DF7&quot;/&gt;&lt;wsp:rsid wsp:val=&quot;00CF7E09&quot;/&gt;&lt;wsp:rsid wsp:val=&quot;00D02180&quot;/&gt;&lt;wsp:rsid wsp:val=&quot;00D02790&quot;/&gt;&lt;wsp:rsid wsp:val=&quot;00D042B3&quot;/&gt;&lt;wsp:rsid wsp:val=&quot;00D051DC&quot;/&gt;&lt;wsp:rsid wsp:val=&quot;00D05220&quot;/&gt;&lt;wsp:rsid wsp:val=&quot;00D06288&quot;/&gt;&lt;wsp:rsid wsp:val=&quot;00D06323&quot;/&gt;&lt;wsp:rsid wsp:val=&quot;00D067EA&quot;/&gt;&lt;wsp:rsid wsp:val=&quot;00D06D96&quot;/&gt;&lt;wsp:rsid wsp:val=&quot;00D07621&quot;/&gt;&lt;wsp:rsid wsp:val=&quot;00D07BF3&quot;/&gt;&lt;wsp:rsid wsp:val=&quot;00D101ED&quot;/&gt;&lt;wsp:rsid wsp:val=&quot;00D104CF&quot;/&gt;&lt;wsp:rsid wsp:val=&quot;00D10EDA&quot;/&gt;&lt;wsp:rsid wsp:val=&quot;00D120C5&quot;/&gt;&lt;wsp:rsid wsp:val=&quot;00D1220A&quot;/&gt;&lt;wsp:rsid wsp:val=&quot;00D126BB&quot;/&gt;&lt;wsp:rsid wsp:val=&quot;00D127B0&quot;/&gt;&lt;wsp:rsid wsp:val=&quot;00D13AED&quot;/&gt;&lt;wsp:rsid wsp:val=&quot;00D13F9F&quot;/&gt;&lt;wsp:rsid wsp:val=&quot;00D140F1&quot;/&gt;&lt;wsp:rsid wsp:val=&quot;00D144A9&quot;/&gt;&lt;wsp:rsid wsp:val=&quot;00D14868&quot;/&gt;&lt;wsp:rsid wsp:val=&quot;00D15F18&quot;/&gt;&lt;wsp:rsid wsp:val=&quot;00D175F4&quot;/&gt;&lt;wsp:rsid wsp:val=&quot;00D17F6C&quot;/&gt;&lt;wsp:rsid wsp:val=&quot;00D20039&quot;/&gt;&lt;wsp:rsid wsp:val=&quot;00D20CA3&quot;/&gt;&lt;wsp:rsid wsp:val=&quot;00D216A7&quot;/&gt;&lt;wsp:rsid wsp:val=&quot;00D21A04&quot;/&gt;&lt;wsp:rsid wsp:val=&quot;00D22310&quot;/&gt;&lt;wsp:rsid wsp:val=&quot;00D22CB1&quot;/&gt;&lt;wsp:rsid wsp:val=&quot;00D235CE&quot;/&gt;&lt;wsp:rsid wsp:val=&quot;00D23EC1&quot;/&gt;&lt;wsp:rsid wsp:val=&quot;00D2459E&quot;/&gt;&lt;wsp:rsid wsp:val=&quot;00D24F87&quot;/&gt;&lt;wsp:rsid wsp:val=&quot;00D25358&quot;/&gt;&lt;wsp:rsid wsp:val=&quot;00D25536&quot;/&gt;&lt;wsp:rsid wsp:val=&quot;00D2631F&quot;/&gt;&lt;wsp:rsid wsp:val=&quot;00D302FE&quot;/&gt;&lt;wsp:rsid wsp:val=&quot;00D30C98&quot;/&gt;&lt;wsp:rsid wsp:val=&quot;00D31257&quot;/&gt;&lt;wsp:rsid wsp:val=&quot;00D31504&quot;/&gt;&lt;wsp:rsid wsp:val=&quot;00D32951&quot;/&gt;&lt;wsp:rsid wsp:val=&quot;00D32F1E&quot;/&gt;&lt;wsp:rsid wsp:val=&quot;00D3311D&quot;/&gt;&lt;wsp:rsid wsp:val=&quot;00D3312B&quot;/&gt;&lt;wsp:rsid wsp:val=&quot;00D342E2&quot;/&gt;&lt;wsp:rsid wsp:val=&quot;00D34538&quot;/&gt;&lt;wsp:rsid wsp:val=&quot;00D34FD1&quot;/&gt;&lt;wsp:rsid wsp:val=&quot;00D36109&quot;/&gt;&lt;wsp:rsid wsp:val=&quot;00D36666&quot;/&gt;&lt;wsp:rsid wsp:val=&quot;00D372D6&quot;/&gt;&lt;wsp:rsid wsp:val=&quot;00D37D72&quot;/&gt;&lt;wsp:rsid wsp:val=&quot;00D40163&quot;/&gt;&lt;wsp:rsid wsp:val=&quot;00D40DAD&quot;/&gt;&lt;wsp:rsid wsp:val=&quot;00D418C6&quot;/&gt;&lt;wsp:rsid wsp:val=&quot;00D41B26&quot;/&gt;&lt;wsp:rsid wsp:val=&quot;00D43010&quot;/&gt;&lt;wsp:rsid wsp:val=&quot;00D43C52&quot;/&gt;&lt;wsp:rsid wsp:val=&quot;00D43F66&quot;/&gt;&lt;wsp:rsid wsp:val=&quot;00D44625&quot;/&gt;&lt;wsp:rsid wsp:val=&quot;00D45BA3&quot;/&gt;&lt;wsp:rsid wsp:val=&quot;00D45D23&quot;/&gt;&lt;wsp:rsid wsp:val=&quot;00D46B54&quot;/&gt;&lt;wsp:rsid wsp:val=&quot;00D46DDA&quot;/&gt;&lt;wsp:rsid wsp:val=&quot;00D50640&quot;/&gt;&lt;wsp:rsid wsp:val=&quot;00D510AD&quot;/&gt;&lt;wsp:rsid wsp:val=&quot;00D5181C&quot;/&gt;&lt;wsp:rsid wsp:val=&quot;00D52915&quot;/&gt;&lt;wsp:rsid wsp:val=&quot;00D53561&quot;/&gt;&lt;wsp:rsid wsp:val=&quot;00D53835&quot;/&gt;&lt;wsp:rsid wsp:val=&quot;00D53AA2&quot;/&gt;&lt;wsp:rsid wsp:val=&quot;00D54263&quot;/&gt;&lt;wsp:rsid wsp:val=&quot;00D547BA&quot;/&gt;&lt;wsp:rsid wsp:val=&quot;00D56448&quot;/&gt;&lt;wsp:rsid wsp:val=&quot;00D56BBD&quot;/&gt;&lt;wsp:rsid wsp:val=&quot;00D56D91&quot;/&gt;&lt;wsp:rsid wsp:val=&quot;00D56DB9&quot;/&gt;&lt;wsp:rsid wsp:val=&quot;00D57824&quot;/&gt;&lt;wsp:rsid wsp:val=&quot;00D57A39&quot;/&gt;&lt;wsp:rsid wsp:val=&quot;00D57F30&quot;/&gt;&lt;wsp:rsid wsp:val=&quot;00D60606&quot;/&gt;&lt;wsp:rsid wsp:val=&quot;00D607FA&quot;/&gt;&lt;wsp:rsid wsp:val=&quot;00D60C99&quot;/&gt;&lt;wsp:rsid wsp:val=&quot;00D610F7&quot;/&gt;&lt;wsp:rsid wsp:val=&quot;00D6159C&quot;/&gt;&lt;wsp:rsid wsp:val=&quot;00D6170A&quot;/&gt;&lt;wsp:rsid wsp:val=&quot;00D61B24&quot;/&gt;&lt;wsp:rsid wsp:val=&quot;00D62204&quot;/&gt;&lt;wsp:rsid wsp:val=&quot;00D6230F&quot;/&gt;&lt;wsp:rsid wsp:val=&quot;00D62852&quot;/&gt;&lt;wsp:rsid wsp:val=&quot;00D63712&quot;/&gt;&lt;wsp:rsid wsp:val=&quot;00D638AE&quot;/&gt;&lt;wsp:rsid wsp:val=&quot;00D63E61&quot;/&gt;&lt;wsp:rsid wsp:val=&quot;00D64017&quot;/&gt;&lt;wsp:rsid wsp:val=&quot;00D6436E&quot;/&gt;&lt;wsp:rsid wsp:val=&quot;00D64A3E&quot;/&gt;&lt;wsp:rsid wsp:val=&quot;00D65BA7&quot;/&gt;&lt;wsp:rsid wsp:val=&quot;00D6667C&quot;/&gt;&lt;wsp:rsid wsp:val=&quot;00D67430&quot;/&gt;&lt;wsp:rsid wsp:val=&quot;00D67BC2&quot;/&gt;&lt;wsp:rsid wsp:val=&quot;00D710F3&quot;/&gt;&lt;wsp:rsid wsp:val=&quot;00D71302&quot;/&gt;&lt;wsp:rsid wsp:val=&quot;00D7135C&quot;/&gt;&lt;wsp:rsid wsp:val=&quot;00D742A8&quot;/&gt;&lt;wsp:rsid wsp:val=&quot;00D74311&quot;/&gt;&lt;wsp:rsid wsp:val=&quot;00D744D0&quot;/&gt;&lt;wsp:rsid wsp:val=&quot;00D746EB&quot;/&gt;&lt;wsp:rsid wsp:val=&quot;00D7689D&quot;/&gt;&lt;wsp:rsid wsp:val=&quot;00D8083B&quot;/&gt;&lt;wsp:rsid wsp:val=&quot;00D809E2&quot;/&gt;&lt;wsp:rsid wsp:val=&quot;00D81183&quot;/&gt;&lt;wsp:rsid wsp:val=&quot;00D81206&quot;/&gt;&lt;wsp:rsid wsp:val=&quot;00D817C5&quot;/&gt;&lt;wsp:rsid wsp:val=&quot;00D81A72&quot;/&gt;&lt;wsp:rsid wsp:val=&quot;00D81E97&quot;/&gt;&lt;wsp:rsid wsp:val=&quot;00D82322&quot;/&gt;&lt;wsp:rsid wsp:val=&quot;00D82914&quot;/&gt;&lt;wsp:rsid wsp:val=&quot;00D83028&quot;/&gt;&lt;wsp:rsid wsp:val=&quot;00D8342F&quot;/&gt;&lt;wsp:rsid wsp:val=&quot;00D83B0A&quot;/&gt;&lt;wsp:rsid wsp:val=&quot;00D8489E&quot;/&gt;&lt;wsp:rsid wsp:val=&quot;00D84A33&quot;/&gt;&lt;wsp:rsid wsp:val=&quot;00D85D43&quot;/&gt;&lt;wsp:rsid wsp:val=&quot;00D86471&quot;/&gt;&lt;wsp:rsid wsp:val=&quot;00D86F55&quot;/&gt;&lt;wsp:rsid wsp:val=&quot;00D87EE8&quot;/&gt;&lt;wsp:rsid wsp:val=&quot;00D90AD0&quot;/&gt;&lt;wsp:rsid wsp:val=&quot;00D90BE7&quot;/&gt;&lt;wsp:rsid wsp:val=&quot;00D91D6D&quot;/&gt;&lt;wsp:rsid wsp:val=&quot;00D91F9D&quot;/&gt;&lt;wsp:rsid wsp:val=&quot;00D93863&quot;/&gt;&lt;wsp:rsid wsp:val=&quot;00D9399E&quot;/&gt;&lt;wsp:rsid wsp:val=&quot;00D9419D&quot;/&gt;&lt;wsp:rsid wsp:val=&quot;00D950AD&quot;/&gt;&lt;wsp:rsid wsp:val=&quot;00D951A9&quot;/&gt;&lt;wsp:rsid wsp:val=&quot;00D956A9&quot;/&gt;&lt;wsp:rsid wsp:val=&quot;00D95D17&quot;/&gt;&lt;wsp:rsid wsp:val=&quot;00D96102&quot;/&gt;&lt;wsp:rsid wsp:val=&quot;00D9655B&quot;/&gt;&lt;wsp:rsid wsp:val=&quot;00D96DDD&quot;/&gt;&lt;wsp:rsid wsp:val=&quot;00D974E9&quot;/&gt;&lt;wsp:rsid wsp:val=&quot;00D97C92&quot;/&gt;&lt;wsp:rsid wsp:val=&quot;00D97D4E&quot;/&gt;&lt;wsp:rsid wsp:val=&quot;00DA07AE&quot;/&gt;&lt;wsp:rsid wsp:val=&quot;00DA0D27&quot;/&gt;&lt;wsp:rsid wsp:val=&quot;00DA1AF8&quot;/&gt;&lt;wsp:rsid wsp:val=&quot;00DA1C33&quot;/&gt;&lt;wsp:rsid wsp:val=&quot;00DA2364&quot;/&gt;&lt;wsp:rsid wsp:val=&quot;00DA3481&quot;/&gt;&lt;wsp:rsid wsp:val=&quot;00DA3A2C&quot;/&gt;&lt;wsp:rsid wsp:val=&quot;00DA3BD2&quot;/&gt;&lt;wsp:rsid wsp:val=&quot;00DA54A2&quot;/&gt;&lt;wsp:rsid wsp:val=&quot;00DA6E32&quot;/&gt;&lt;wsp:rsid wsp:val=&quot;00DA79AA&quot;/&gt;&lt;wsp:rsid wsp:val=&quot;00DB00FD&quot;/&gt;&lt;wsp:rsid wsp:val=&quot;00DB0977&quot;/&gt;&lt;wsp:rsid wsp:val=&quot;00DB1483&quot;/&gt;&lt;wsp:rsid wsp:val=&quot;00DB1CB1&quot;/&gt;&lt;wsp:rsid wsp:val=&quot;00DB215C&quot;/&gt;&lt;wsp:rsid wsp:val=&quot;00DB2864&quot;/&gt;&lt;wsp:rsid wsp:val=&quot;00DB2D9C&quot;/&gt;&lt;wsp:rsid wsp:val=&quot;00DB33A7&quot;/&gt;&lt;wsp:rsid wsp:val=&quot;00DB37CE&quot;/&gt;&lt;wsp:rsid wsp:val=&quot;00DB4346&quot;/&gt;&lt;wsp:rsid wsp:val=&quot;00DB52C8&quot;/&gt;&lt;wsp:rsid wsp:val=&quot;00DB535A&quot;/&gt;&lt;wsp:rsid wsp:val=&quot;00DB59E4&quot;/&gt;&lt;wsp:rsid wsp:val=&quot;00DB5B19&quot;/&gt;&lt;wsp:rsid wsp:val=&quot;00DB5FF1&quot;/&gt;&lt;wsp:rsid wsp:val=&quot;00DB63D3&quot;/&gt;&lt;wsp:rsid wsp:val=&quot;00DB6407&quot;/&gt;&lt;wsp:rsid wsp:val=&quot;00DC1336&quot;/&gt;&lt;wsp:rsid wsp:val=&quot;00DC165E&quot;/&gt;&lt;wsp:rsid wsp:val=&quot;00DC21F0&quot;/&gt;&lt;wsp:rsid wsp:val=&quot;00DC25FF&quot;/&gt;&lt;wsp:rsid wsp:val=&quot;00DC2A04&quot;/&gt;&lt;wsp:rsid wsp:val=&quot;00DC31BF&quot;/&gt;&lt;wsp:rsid wsp:val=&quot;00DC31F1&quot;/&gt;&lt;wsp:rsid wsp:val=&quot;00DC33CD&quot;/&gt;&lt;wsp:rsid wsp:val=&quot;00DC4044&quot;/&gt;&lt;wsp:rsid wsp:val=&quot;00DC49FC&quot;/&gt;&lt;wsp:rsid wsp:val=&quot;00DC60A0&quot;/&gt;&lt;wsp:rsid wsp:val=&quot;00DC6D0C&quot;/&gt;&lt;wsp:rsid wsp:val=&quot;00DC71AD&quot;/&gt;&lt;wsp:rsid wsp:val=&quot;00DC7818&quot;/&gt;&lt;wsp:rsid wsp:val=&quot;00DD1066&quot;/&gt;&lt;wsp:rsid wsp:val=&quot;00DD1A6F&quot;/&gt;&lt;wsp:rsid wsp:val=&quot;00DD1B66&quot;/&gt;&lt;wsp:rsid wsp:val=&quot;00DD1C6C&quot;/&gt;&lt;wsp:rsid wsp:val=&quot;00DD2264&quot;/&gt;&lt;wsp:rsid wsp:val=&quot;00DD253A&quot;/&gt;&lt;wsp:rsid wsp:val=&quot;00DD400A&quot;/&gt;&lt;wsp:rsid wsp:val=&quot;00DD4714&quot;/&gt;&lt;wsp:rsid wsp:val=&quot;00DD4EC4&quot;/&gt;&lt;wsp:rsid wsp:val=&quot;00DD677C&quot;/&gt;&lt;wsp:rsid wsp:val=&quot;00DD7956&quot;/&gt;&lt;wsp:rsid wsp:val=&quot;00DD79EF&quot;/&gt;&lt;wsp:rsid wsp:val=&quot;00DE03CF&quot;/&gt;&lt;wsp:rsid wsp:val=&quot;00DE1A90&quot;/&gt;&lt;wsp:rsid wsp:val=&quot;00DE2CC6&quot;/&gt;&lt;wsp:rsid wsp:val=&quot;00DE4580&quot;/&gt;&lt;wsp:rsid wsp:val=&quot;00DE50E5&quot;/&gt;&lt;wsp:rsid wsp:val=&quot;00DE5A95&quot;/&gt;&lt;wsp:rsid wsp:val=&quot;00DE5DB4&quot;/&gt;&lt;wsp:rsid wsp:val=&quot;00DE6017&quot;/&gt;&lt;wsp:rsid wsp:val=&quot;00DE6D58&quot;/&gt;&lt;wsp:rsid wsp:val=&quot;00DE74BF&quot;/&gt;&lt;wsp:rsid wsp:val=&quot;00DE78EF&quot;/&gt;&lt;wsp:rsid wsp:val=&quot;00DE7DE5&quot;/&gt;&lt;wsp:rsid wsp:val=&quot;00DE7EDF&quot;/&gt;&lt;wsp:rsid wsp:val=&quot;00DF00B8&quot;/&gt;&lt;wsp:rsid wsp:val=&quot;00DF0488&quot;/&gt;&lt;wsp:rsid wsp:val=&quot;00DF05D9&quot;/&gt;&lt;wsp:rsid wsp:val=&quot;00DF06A2&quot;/&gt;&lt;wsp:rsid wsp:val=&quot;00DF3066&quot;/&gt;&lt;wsp:rsid wsp:val=&quot;00DF34CF&quot;/&gt;&lt;wsp:rsid wsp:val=&quot;00DF35CC&quot;/&gt;&lt;wsp:rsid wsp:val=&quot;00DF4B2A&quot;/&gt;&lt;wsp:rsid wsp:val=&quot;00DF4CE0&quot;/&gt;&lt;wsp:rsid wsp:val=&quot;00DF5314&quot;/&gt;&lt;wsp:rsid wsp:val=&quot;00DF5333&quot;/&gt;&lt;wsp:rsid wsp:val=&quot;00DF5912&quot;/&gt;&lt;wsp:rsid wsp:val=&quot;00DF65BC&quot;/&gt;&lt;wsp:rsid wsp:val=&quot;00DF6647&quot;/&gt;&lt;wsp:rsid wsp:val=&quot;00DF6978&quot;/&gt;&lt;wsp:rsid wsp:val=&quot;00DF6B08&quot;/&gt;&lt;wsp:rsid wsp:val=&quot;00DF72E5&quot;/&gt;&lt;wsp:rsid wsp:val=&quot;00DF77ED&quot;/&gt;&lt;wsp:rsid wsp:val=&quot;00E0025D&quot;/&gt;&lt;wsp:rsid wsp:val=&quot;00E00543&quot;/&gt;&lt;wsp:rsid wsp:val=&quot;00E00A45&quot;/&gt;&lt;wsp:rsid wsp:val=&quot;00E00FEE&quot;/&gt;&lt;wsp:rsid wsp:val=&quot;00E0102D&quot;/&gt;&lt;wsp:rsid wsp:val=&quot;00E0139D&quot;/&gt;&lt;wsp:rsid wsp:val=&quot;00E02285&quot;/&gt;&lt;wsp:rsid wsp:val=&quot;00E0293E&quot;/&gt;&lt;wsp:rsid wsp:val=&quot;00E02FCE&quot;/&gt;&lt;wsp:rsid wsp:val=&quot;00E037B4&quot;/&gt;&lt;wsp:rsid wsp:val=&quot;00E03A20&quot;/&gt;&lt;wsp:rsid wsp:val=&quot;00E03D8B&quot;/&gt;&lt;wsp:rsid wsp:val=&quot;00E04042&quot;/&gt;&lt;wsp:rsid wsp:val=&quot;00E04ADE&quot;/&gt;&lt;wsp:rsid wsp:val=&quot;00E05CD3&quot;/&gt;&lt;wsp:rsid wsp:val=&quot;00E07704&quot;/&gt;&lt;wsp:rsid wsp:val=&quot;00E0790A&quot;/&gt;&lt;wsp:rsid wsp:val=&quot;00E07B3B&quot;/&gt;&lt;wsp:rsid wsp:val=&quot;00E11755&quot;/&gt;&lt;wsp:rsid wsp:val=&quot;00E11D36&quot;/&gt;&lt;wsp:rsid wsp:val=&quot;00E12B74&quot;/&gt;&lt;wsp:rsid wsp:val=&quot;00E154A8&quot;/&gt;&lt;wsp:rsid wsp:val=&quot;00E16067&quot;/&gt;&lt;wsp:rsid wsp:val=&quot;00E164F2&quot;/&gt;&lt;wsp:rsid wsp:val=&quot;00E17062&quot;/&gt;&lt;wsp:rsid wsp:val=&quot;00E202AC&quot;/&gt;&lt;wsp:rsid wsp:val=&quot;00E20967&quot;/&gt;&lt;wsp:rsid wsp:val=&quot;00E21088&quot;/&gt;&lt;wsp:rsid wsp:val=&quot;00E2134D&quot;/&gt;&lt;wsp:rsid wsp:val=&quot;00E2224C&quot;/&gt;&lt;wsp:rsid wsp:val=&quot;00E232E2&quot;/&gt;&lt;wsp:rsid wsp:val=&quot;00E23FF3&quot;/&gt;&lt;wsp:rsid wsp:val=&quot;00E2510A&quot;/&gt;&lt;wsp:rsid wsp:val=&quot;00E26340&quot;/&gt;&lt;wsp:rsid wsp:val=&quot;00E26ACE&quot;/&gt;&lt;wsp:rsid wsp:val=&quot;00E26CFB&quot;/&gt;&lt;wsp:rsid wsp:val=&quot;00E2711B&quot;/&gt;&lt;wsp:rsid wsp:val=&quot;00E27EE5&quot;/&gt;&lt;wsp:rsid wsp:val=&quot;00E308C8&quot;/&gt;&lt;wsp:rsid wsp:val=&quot;00E30B40&quot;/&gt;&lt;wsp:rsid wsp:val=&quot;00E3111A&quot;/&gt;&lt;wsp:rsid wsp:val=&quot;00E32496&quot;/&gt;&lt;wsp:rsid wsp:val=&quot;00E32B4D&quot;/&gt;&lt;wsp:rsid wsp:val=&quot;00E32C3B&quot;/&gt;&lt;wsp:rsid wsp:val=&quot;00E335ED&quot;/&gt;&lt;wsp:rsid wsp:val=&quot;00E33DBB&quot;/&gt;&lt;wsp:rsid wsp:val=&quot;00E346DD&quot;/&gt;&lt;wsp:rsid wsp:val=&quot;00E35775&quot;/&gt;&lt;wsp:rsid wsp:val=&quot;00E37AE4&quot;/&gt;&lt;wsp:rsid wsp:val=&quot;00E419A4&quot;/&gt;&lt;wsp:rsid wsp:val=&quot;00E4282A&quot;/&gt;&lt;wsp:rsid wsp:val=&quot;00E42994&quot;/&gt;&lt;wsp:rsid wsp:val=&quot;00E42ACE&quot;/&gt;&lt;wsp:rsid wsp:val=&quot;00E42BA7&quot;/&gt;&lt;wsp:rsid wsp:val=&quot;00E42BDB&quot;/&gt;&lt;wsp:rsid wsp:val=&quot;00E42C18&quot;/&gt;&lt;wsp:rsid wsp:val=&quot;00E43B69&quot;/&gt;&lt;wsp:rsid wsp:val=&quot;00E451FF&quot;/&gt;&lt;wsp:rsid wsp:val=&quot;00E45554&quot;/&gt;&lt;wsp:rsid wsp:val=&quot;00E4639A&quot;/&gt;&lt;wsp:rsid wsp:val=&quot;00E46A24&quot;/&gt;&lt;wsp:rsid wsp:val=&quot;00E46B62&quot;/&gt;&lt;wsp:rsid wsp:val=&quot;00E4713C&quot;/&gt;&lt;wsp:rsid wsp:val=&quot;00E475D9&quot;/&gt;&lt;wsp:rsid wsp:val=&quot;00E47D02&quot;/&gt;&lt;wsp:rsid wsp:val=&quot;00E50998&quot;/&gt;&lt;wsp:rsid wsp:val=&quot;00E51095&quot;/&gt;&lt;wsp:rsid wsp:val=&quot;00E51C27&quot;/&gt;&lt;wsp:rsid wsp:val=&quot;00E51D02&quot;/&gt;&lt;wsp:rsid wsp:val=&quot;00E53415&quot;/&gt;&lt;wsp:rsid wsp:val=&quot;00E537DA&quot;/&gt;&lt;wsp:rsid wsp:val=&quot;00E53E12&quot;/&gt;&lt;wsp:rsid wsp:val=&quot;00E53FD8&quot;/&gt;&lt;wsp:rsid wsp:val=&quot;00E54C1A&quot;/&gt;&lt;wsp:rsid wsp:val=&quot;00E54EF8&quot;/&gt;&lt;wsp:rsid wsp:val=&quot;00E550EE&quot;/&gt;&lt;wsp:rsid wsp:val=&quot;00E55D77&quot;/&gt;&lt;wsp:rsid wsp:val=&quot;00E56391&quot;/&gt;&lt;wsp:rsid wsp:val=&quot;00E56410&quot;/&gt;&lt;wsp:rsid wsp:val=&quot;00E570E1&quot;/&gt;&lt;wsp:rsid wsp:val=&quot;00E57150&quot;/&gt;&lt;wsp:rsid wsp:val=&quot;00E57B3E&quot;/&gt;&lt;wsp:rsid wsp:val=&quot;00E57C84&quot;/&gt;&lt;wsp:rsid wsp:val=&quot;00E6001C&quot;/&gt;&lt;wsp:rsid wsp:val=&quot;00E61061&quot;/&gt;&lt;wsp:rsid wsp:val=&quot;00E61511&quot;/&gt;&lt;wsp:rsid wsp:val=&quot;00E6242F&quot;/&gt;&lt;wsp:rsid wsp:val=&quot;00E627DD&quot;/&gt;&lt;wsp:rsid wsp:val=&quot;00E62903&quot;/&gt;&lt;wsp:rsid wsp:val=&quot;00E62BDC&quot;/&gt;&lt;wsp:rsid wsp:val=&quot;00E62F86&quot;/&gt;&lt;wsp:rsid wsp:val=&quot;00E63558&quot;/&gt;&lt;wsp:rsid wsp:val=&quot;00E63662&quot;/&gt;&lt;wsp:rsid wsp:val=&quot;00E63812&quot;/&gt;&lt;wsp:rsid wsp:val=&quot;00E640C2&quot;/&gt;&lt;wsp:rsid wsp:val=&quot;00E64DB6&quot;/&gt;&lt;wsp:rsid wsp:val=&quot;00E64F86&quot;/&gt;&lt;wsp:rsid wsp:val=&quot;00E653BD&quot;/&gt;&lt;wsp:rsid wsp:val=&quot;00E658C9&quot;/&gt;&lt;wsp:rsid wsp:val=&quot;00E659A6&quot;/&gt;&lt;wsp:rsid wsp:val=&quot;00E66507&quot;/&gt;&lt;wsp:rsid wsp:val=&quot;00E66AC3&quot;/&gt;&lt;wsp:rsid wsp:val=&quot;00E66DE7&quot;/&gt;&lt;wsp:rsid wsp:val=&quot;00E674C2&quot;/&gt;&lt;wsp:rsid wsp:val=&quot;00E67AF5&quot;/&gt;&lt;wsp:rsid wsp:val=&quot;00E70324&quot;/&gt;&lt;wsp:rsid wsp:val=&quot;00E70B12&quot;/&gt;&lt;wsp:rsid wsp:val=&quot;00E70CE8&quot;/&gt;&lt;wsp:rsid wsp:val=&quot;00E7156E&quot;/&gt;&lt;wsp:rsid wsp:val=&quot;00E7199E&quot;/&gt;&lt;wsp:rsid wsp:val=&quot;00E72723&quot;/&gt;&lt;wsp:rsid wsp:val=&quot;00E73523&quot;/&gt;&lt;wsp:rsid wsp:val=&quot;00E7362A&quot;/&gt;&lt;wsp:rsid wsp:val=&quot;00E739E5&quot;/&gt;&lt;wsp:rsid wsp:val=&quot;00E73AED&quot;/&gt;&lt;wsp:rsid wsp:val=&quot;00E73CE8&quot;/&gt;&lt;wsp:rsid wsp:val=&quot;00E73F73&quot;/&gt;&lt;wsp:rsid wsp:val=&quot;00E74250&quot;/&gt;&lt;wsp:rsid wsp:val=&quot;00E75132&quot;/&gt;&lt;wsp:rsid wsp:val=&quot;00E75373&quot;/&gt;&lt;wsp:rsid wsp:val=&quot;00E75B0D&quot;/&gt;&lt;wsp:rsid wsp:val=&quot;00E7631D&quot;/&gt;&lt;wsp:rsid wsp:val=&quot;00E77D4D&quot;/&gt;&lt;wsp:rsid wsp:val=&quot;00E77F13&quot;/&gt;&lt;wsp:rsid wsp:val=&quot;00E77F3C&quot;/&gt;&lt;wsp:rsid wsp:val=&quot;00E80251&quot;/&gt;&lt;wsp:rsid wsp:val=&quot;00E80535&quot;/&gt;&lt;wsp:rsid wsp:val=&quot;00E81680&quot;/&gt;&lt;wsp:rsid wsp:val=&quot;00E81D69&quot;/&gt;&lt;wsp:rsid wsp:val=&quot;00E837EC&quot;/&gt;&lt;wsp:rsid wsp:val=&quot;00E83FBA&quot;/&gt;&lt;wsp:rsid wsp:val=&quot;00E84240&quot;/&gt;&lt;wsp:rsid wsp:val=&quot;00E848BE&quot;/&gt;&lt;wsp:rsid wsp:val=&quot;00E84BBD&quot;/&gt;&lt;wsp:rsid wsp:val=&quot;00E84C96&quot;/&gt;&lt;wsp:rsid wsp:val=&quot;00E8544A&quot;/&gt;&lt;wsp:rsid wsp:val=&quot;00E85464&quot;/&gt;&lt;wsp:rsid wsp:val=&quot;00E85B6D&quot;/&gt;&lt;wsp:rsid wsp:val=&quot;00E85D74&quot;/&gt;&lt;wsp:rsid wsp:val=&quot;00E85F41&quot;/&gt;&lt;wsp:rsid wsp:val=&quot;00E86916&quot;/&gt;&lt;wsp:rsid wsp:val=&quot;00E869A0&quot;/&gt;&lt;wsp:rsid wsp:val=&quot;00E86A44&quot;/&gt;&lt;wsp:rsid wsp:val=&quot;00E90920&quot;/&gt;&lt;wsp:rsid wsp:val=&quot;00E910BB&quot;/&gt;&lt;wsp:rsid wsp:val=&quot;00E91246&quot;/&gt;&lt;wsp:rsid wsp:val=&quot;00E91322&quot;/&gt;&lt;wsp:rsid wsp:val=&quot;00E91883&quot;/&gt;&lt;wsp:rsid wsp:val=&quot;00E918F3&quot;/&gt;&lt;wsp:rsid wsp:val=&quot;00E91994&quot;/&gt;&lt;wsp:rsid wsp:val=&quot;00E93824&quot;/&gt;&lt;wsp:rsid wsp:val=&quot;00E93BAE&quot;/&gt;&lt;wsp:rsid wsp:val=&quot;00E94787&quot;/&gt;&lt;wsp:rsid wsp:val=&quot;00E94A27&quot;/&gt;&lt;wsp:rsid wsp:val=&quot;00E94B0A&quot;/&gt;&lt;wsp:rsid wsp:val=&quot;00E94D67&quot;/&gt;&lt;wsp:rsid wsp:val=&quot;00E94F32&quot;/&gt;&lt;wsp:rsid wsp:val=&quot;00E95906&quot;/&gt;&lt;wsp:rsid wsp:val=&quot;00E95BFC&quot;/&gt;&lt;wsp:rsid wsp:val=&quot;00E9635A&quot;/&gt;&lt;wsp:rsid wsp:val=&quot;00E964EE&quot;/&gt;&lt;wsp:rsid wsp:val=&quot;00E97690&quot;/&gt;&lt;wsp:rsid wsp:val=&quot;00EA0C5B&quot;/&gt;&lt;wsp:rsid wsp:val=&quot;00EA127F&quot;/&gt;&lt;wsp:rsid wsp:val=&quot;00EA1B3A&quot;/&gt;&lt;wsp:rsid wsp:val=&quot;00EA21FB&quot;/&gt;&lt;wsp:rsid wsp:val=&quot;00EA27C4&quot;/&gt;&lt;wsp:rsid wsp:val=&quot;00EA2818&quot;/&gt;&lt;wsp:rsid wsp:val=&quot;00EA4283&quot;/&gt;&lt;wsp:rsid wsp:val=&quot;00EA4A7A&quot;/&gt;&lt;wsp:rsid wsp:val=&quot;00EA5498&quot;/&gt;&lt;wsp:rsid wsp:val=&quot;00EA5581&quot;/&gt;&lt;wsp:rsid wsp:val=&quot;00EA58B7&quot;/&gt;&lt;wsp:rsid wsp:val=&quot;00EA7849&quot;/&gt;&lt;wsp:rsid wsp:val=&quot;00EA7CE7&quot;/&gt;&lt;wsp:rsid wsp:val=&quot;00EB0326&quot;/&gt;&lt;wsp:rsid wsp:val=&quot;00EB08C7&quot;/&gt;&lt;wsp:rsid wsp:val=&quot;00EB0DA5&quot;/&gt;&lt;wsp:rsid wsp:val=&quot;00EB1895&quot;/&gt;&lt;wsp:rsid wsp:val=&quot;00EB1EBA&quot;/&gt;&lt;wsp:rsid wsp:val=&quot;00EB3CFE&quot;/&gt;&lt;wsp:rsid wsp:val=&quot;00EB3D9A&quot;/&gt;&lt;wsp:rsid wsp:val=&quot;00EB3ED6&quot;/&gt;&lt;wsp:rsid wsp:val=&quot;00EB4E26&quot;/&gt;&lt;wsp:rsid wsp:val=&quot;00EB52D8&quot;/&gt;&lt;wsp:rsid wsp:val=&quot;00EB6540&quot;/&gt;&lt;wsp:rsid wsp:val=&quot;00EB6EB0&quot;/&gt;&lt;wsp:rsid wsp:val=&quot;00EB75C2&quot;/&gt;&lt;wsp:rsid wsp:val=&quot;00EB7953&quot;/&gt;&lt;wsp:rsid wsp:val=&quot;00EC2FA7&quot;/&gt;&lt;wsp:rsid wsp:val=&quot;00EC2FC2&quot;/&gt;&lt;wsp:rsid wsp:val=&quot;00EC3027&quot;/&gt;&lt;wsp:rsid wsp:val=&quot;00EC35F5&quot;/&gt;&lt;wsp:rsid wsp:val=&quot;00EC3644&quot;/&gt;&lt;wsp:rsid wsp:val=&quot;00EC3ABB&quot;/&gt;&lt;wsp:rsid wsp:val=&quot;00EC458C&quot;/&gt;&lt;wsp:rsid wsp:val=&quot;00EC4AF0&quot;/&gt;&lt;wsp:rsid wsp:val=&quot;00EC4D39&quot;/&gt;&lt;wsp:rsid wsp:val=&quot;00EC53D8&quot;/&gt;&lt;wsp:rsid wsp:val=&quot;00EC54FA&quot;/&gt;&lt;wsp:rsid wsp:val=&quot;00EC62EC&quot;/&gt;&lt;wsp:rsid wsp:val=&quot;00EC6463&quot;/&gt;&lt;wsp:rsid wsp:val=&quot;00EC6931&quot;/&gt;&lt;wsp:rsid wsp:val=&quot;00EC7C5C&quot;/&gt;&lt;wsp:rsid wsp:val=&quot;00EC7F3B&quot;/&gt;&lt;wsp:rsid wsp:val=&quot;00ED08A0&quot;/&gt;&lt;wsp:rsid wsp:val=&quot;00ED1D22&quot;/&gt;&lt;wsp:rsid wsp:val=&quot;00ED1ED0&quot;/&gt;&lt;wsp:rsid wsp:val=&quot;00ED2D46&quot;/&gt;&lt;wsp:rsid wsp:val=&quot;00ED4035&quot;/&gt;&lt;wsp:rsid wsp:val=&quot;00ED51D1&quot;/&gt;&lt;wsp:rsid wsp:val=&quot;00ED5209&quot;/&gt;&lt;wsp:rsid wsp:val=&quot;00ED5443&quot;/&gt;&lt;wsp:rsid wsp:val=&quot;00ED57FC&quot;/&gt;&lt;wsp:rsid wsp:val=&quot;00ED5E22&quot;/&gt;&lt;wsp:rsid wsp:val=&quot;00ED5F4D&quot;/&gt;&lt;wsp:rsid wsp:val=&quot;00ED6214&quot;/&gt;&lt;wsp:rsid wsp:val=&quot;00ED6321&quot;/&gt;&lt;wsp:rsid wsp:val=&quot;00ED63F8&quot;/&gt;&lt;wsp:rsid wsp:val=&quot;00EE005C&quot;/&gt;&lt;wsp:rsid wsp:val=&quot;00EE07EB&quot;/&gt;&lt;wsp:rsid wsp:val=&quot;00EE0EBA&quot;/&gt;&lt;wsp:rsid wsp:val=&quot;00EE16AC&quot;/&gt;&lt;wsp:rsid wsp:val=&quot;00EE184B&quot;/&gt;&lt;wsp:rsid wsp:val=&quot;00EE18EA&quot;/&gt;&lt;wsp:rsid wsp:val=&quot;00EE1F8B&quot;/&gt;&lt;wsp:rsid wsp:val=&quot;00EE2002&quot;/&gt;&lt;wsp:rsid wsp:val=&quot;00EE24C7&quot;/&gt;&lt;wsp:rsid wsp:val=&quot;00EE27DE&quot;/&gt;&lt;wsp:rsid wsp:val=&quot;00EE2B45&quot;/&gt;&lt;wsp:rsid wsp:val=&quot;00EE2D92&quot;/&gt;&lt;wsp:rsid wsp:val=&quot;00EE3902&quot;/&gt;&lt;wsp:rsid wsp:val=&quot;00EE3DEB&quot;/&gt;&lt;wsp:rsid wsp:val=&quot;00EE455D&quot;/&gt;&lt;wsp:rsid wsp:val=&quot;00EE4A40&quot;/&gt;&lt;wsp:rsid wsp:val=&quot;00EE4B78&quot;/&gt;&lt;wsp:rsid wsp:val=&quot;00EE4BD7&quot;/&gt;&lt;wsp:rsid wsp:val=&quot;00EE7057&quot;/&gt;&lt;wsp:rsid wsp:val=&quot;00EF04D8&quot;/&gt;&lt;wsp:rsid wsp:val=&quot;00EF0C49&quot;/&gt;&lt;wsp:rsid wsp:val=&quot;00EF154B&quot;/&gt;&lt;wsp:rsid wsp:val=&quot;00EF19C3&quot;/&gt;&lt;wsp:rsid wsp:val=&quot;00EF1B1C&quot;/&gt;&lt;wsp:rsid wsp:val=&quot;00EF1BB4&quot;/&gt;&lt;wsp:rsid wsp:val=&quot;00EF2A1D&quot;/&gt;&lt;wsp:rsid wsp:val=&quot;00EF2E4F&quot;/&gt;&lt;wsp:rsid wsp:val=&quot;00EF3013&quot;/&gt;&lt;wsp:rsid wsp:val=&quot;00EF3CF9&quot;/&gt;&lt;wsp:rsid wsp:val=&quot;00EF3E20&quot;/&gt;&lt;wsp:rsid wsp:val=&quot;00EF4B3B&quot;/&gt;&lt;wsp:rsid wsp:val=&quot;00EF4D7D&quot;/&gt;&lt;wsp:rsid wsp:val=&quot;00EF63CC&quot;/&gt;&lt;wsp:rsid wsp:val=&quot;00EF74F1&quot;/&gt;&lt;wsp:rsid wsp:val=&quot;00EF7AE6&quot;/&gt;&lt;wsp:rsid wsp:val=&quot;00F016FA&quot;/&gt;&lt;wsp:rsid wsp:val=&quot;00F01D5F&quot;/&gt;&lt;wsp:rsid wsp:val=&quot;00F01D7F&quot;/&gt;&lt;wsp:rsid wsp:val=&quot;00F025C4&quot;/&gt;&lt;wsp:rsid wsp:val=&quot;00F028D8&quot;/&gt;&lt;wsp:rsid wsp:val=&quot;00F02F87&quot;/&gt;&lt;wsp:rsid wsp:val=&quot;00F05381&quot;/&gt;&lt;wsp:rsid wsp:val=&quot;00F05AA8&quot;/&gt;&lt;wsp:rsid wsp:val=&quot;00F0738E&quot;/&gt;&lt;wsp:rsid wsp:val=&quot;00F076F1&quot;/&gt;&lt;wsp:rsid wsp:val=&quot;00F07817&quot;/&gt;&lt;wsp:rsid wsp:val=&quot;00F12A22&quot;/&gt;&lt;wsp:rsid wsp:val=&quot;00F14094&quot;/&gt;&lt;wsp:rsid wsp:val=&quot;00F15CD2&quot;/&gt;&lt;wsp:rsid wsp:val=&quot;00F16141&quot;/&gt;&lt;wsp:rsid wsp:val=&quot;00F165ED&quot;/&gt;&lt;wsp:rsid wsp:val=&quot;00F16BC0&quot;/&gt;&lt;wsp:rsid wsp:val=&quot;00F17120&quot;/&gt;&lt;wsp:rsid wsp:val=&quot;00F17219&quot;/&gt;&lt;wsp:rsid wsp:val=&quot;00F174A7&quot;/&gt;&lt;wsp:rsid wsp:val=&quot;00F177BD&quot;/&gt;&lt;wsp:rsid wsp:val=&quot;00F17C01&quot;/&gt;&lt;wsp:rsid wsp:val=&quot;00F2068C&quot;/&gt;&lt;wsp:rsid wsp:val=&quot;00F208BB&quot;/&gt;&lt;wsp:rsid wsp:val=&quot;00F20A1B&quot;/&gt;&lt;wsp:rsid wsp:val=&quot;00F20A5D&quot;/&gt;&lt;wsp:rsid wsp:val=&quot;00F213C6&quot;/&gt;&lt;wsp:rsid wsp:val=&quot;00F213F3&quot;/&gt;&lt;wsp:rsid wsp:val=&quot;00F21EB9&quot;/&gt;&lt;wsp:rsid wsp:val=&quot;00F22608&quot;/&gt;&lt;wsp:rsid wsp:val=&quot;00F22768&quot;/&gt;&lt;wsp:rsid wsp:val=&quot;00F22C1B&quot;/&gt;&lt;wsp:rsid wsp:val=&quot;00F2432B&quot;/&gt;&lt;wsp:rsid wsp:val=&quot;00F2475B&quot;/&gt;&lt;wsp:rsid wsp:val=&quot;00F26CB8&quot;/&gt;&lt;wsp:rsid wsp:val=&quot;00F2786F&quot;/&gt;&lt;wsp:rsid wsp:val=&quot;00F30CF7&quot;/&gt;&lt;wsp:rsid wsp:val=&quot;00F31E22&quot;/&gt;&lt;wsp:rsid wsp:val=&quot;00F332BD&quot;/&gt;&lt;wsp:rsid wsp:val=&quot;00F3338D&quot;/&gt;&lt;wsp:rsid wsp:val=&quot;00F33A86&quot;/&gt;&lt;wsp:rsid wsp:val=&quot;00F33C71&quot;/&gt;&lt;wsp:rsid wsp:val=&quot;00F340E0&quot;/&gt;&lt;wsp:rsid wsp:val=&quot;00F3420C&quot;/&gt;&lt;wsp:rsid wsp:val=&quot;00F34284&quot;/&gt;&lt;wsp:rsid wsp:val=&quot;00F3482F&quot;/&gt;&lt;wsp:rsid wsp:val=&quot;00F34901&quot;/&gt;&lt;wsp:rsid wsp:val=&quot;00F34EA3&quot;/&gt;&lt;wsp:rsid wsp:val=&quot;00F358AE&quot;/&gt;&lt;wsp:rsid wsp:val=&quot;00F35F33&quot;/&gt;&lt;wsp:rsid wsp:val=&quot;00F36F47&quot;/&gt;&lt;wsp:rsid wsp:val=&quot;00F36F49&quot;/&gt;&lt;wsp:rsid wsp:val=&quot;00F37DAE&quot;/&gt;&lt;wsp:rsid wsp:val=&quot;00F40AB3&quot;/&gt;&lt;wsp:rsid wsp:val=&quot;00F40D48&quot;/&gt;&lt;wsp:rsid wsp:val=&quot;00F40D53&quot;/&gt;&lt;wsp:rsid wsp:val=&quot;00F411E6&quot;/&gt;&lt;wsp:rsid wsp:val=&quot;00F41E7E&quot;/&gt;&lt;wsp:rsid wsp:val=&quot;00F4297D&quot;/&gt;&lt;wsp:rsid wsp:val=&quot;00F4330E&quot;/&gt;&lt;wsp:rsid wsp:val=&quot;00F43B1C&quot;/&gt;&lt;wsp:rsid wsp:val=&quot;00F43E0D&quot;/&gt;&lt;wsp:rsid wsp:val=&quot;00F4493C&quot;/&gt;&lt;wsp:rsid wsp:val=&quot;00F44F50&quot;/&gt;&lt;wsp:rsid wsp:val=&quot;00F4528D&quot;/&gt;&lt;wsp:rsid wsp:val=&quot;00F45649&quot;/&gt;&lt;wsp:rsid wsp:val=&quot;00F458D8&quot;/&gt;&lt;wsp:rsid wsp:val=&quot;00F46091&quot;/&gt;&lt;wsp:rsid wsp:val=&quot;00F4611E&quot;/&gt;&lt;wsp:rsid wsp:val=&quot;00F46D2A&quot;/&gt;&lt;wsp:rsid wsp:val=&quot;00F46F0E&quot;/&gt;&lt;wsp:rsid wsp:val=&quot;00F47547&quot;/&gt;&lt;wsp:rsid wsp:val=&quot;00F47A59&quot;/&gt;&lt;wsp:rsid wsp:val=&quot;00F50BB3&quot;/&gt;&lt;wsp:rsid wsp:val=&quot;00F514D2&quot;/&gt;&lt;wsp:rsid wsp:val=&quot;00F51777&quot;/&gt;&lt;wsp:rsid wsp:val=&quot;00F537CA&quot;/&gt;&lt;wsp:rsid wsp:val=&quot;00F53C0D&quot;/&gt;&lt;wsp:rsid wsp:val=&quot;00F54076&quot;/&gt;&lt;wsp:rsid wsp:val=&quot;00F5415C&quot;/&gt;&lt;wsp:rsid wsp:val=&quot;00F54BA3&quot;/&gt;&lt;wsp:rsid wsp:val=&quot;00F54C40&quot;/&gt;&lt;wsp:rsid wsp:val=&quot;00F550B1&quot;/&gt;&lt;wsp:rsid wsp:val=&quot;00F556BE&quot;/&gt;&lt;wsp:rsid wsp:val=&quot;00F5580F&quot;/&gt;&lt;wsp:rsid wsp:val=&quot;00F55C3F&quot;/&gt;&lt;wsp:rsid wsp:val=&quot;00F56624&quot;/&gt;&lt;wsp:rsid wsp:val=&quot;00F56C2F&quot;/&gt;&lt;wsp:rsid wsp:val=&quot;00F57BBF&quot;/&gt;&lt;wsp:rsid wsp:val=&quot;00F6070E&quot;/&gt;&lt;wsp:rsid wsp:val=&quot;00F61AFB&quot;/&gt;&lt;wsp:rsid wsp:val=&quot;00F620DE&quot;/&gt;&lt;wsp:rsid wsp:val=&quot;00F622D8&quot;/&gt;&lt;wsp:rsid wsp:val=&quot;00F63885&quot;/&gt;&lt;wsp:rsid wsp:val=&quot;00F63B70&quot;/&gt;&lt;wsp:rsid wsp:val=&quot;00F63EBA&quot;/&gt;&lt;wsp:rsid wsp:val=&quot;00F63EE4&quot;/&gt;&lt;wsp:rsid wsp:val=&quot;00F65811&quot;/&gt;&lt;wsp:rsid wsp:val=&quot;00F65DF1&quot;/&gt;&lt;wsp:rsid wsp:val=&quot;00F6628E&quot;/&gt;&lt;wsp:rsid wsp:val=&quot;00F66E8F&quot;/&gt;&lt;wsp:rsid wsp:val=&quot;00F67658&quot;/&gt;&lt;wsp:rsid wsp:val=&quot;00F67AA6&quot;/&gt;&lt;wsp:rsid wsp:val=&quot;00F67E2C&quot;/&gt;&lt;wsp:rsid wsp:val=&quot;00F700C6&quot;/&gt;&lt;wsp:rsid wsp:val=&quot;00F70168&quot;/&gt;&lt;wsp:rsid wsp:val=&quot;00F7017E&quot;/&gt;&lt;wsp:rsid wsp:val=&quot;00F70326&quot;/&gt;&lt;wsp:rsid wsp:val=&quot;00F70DEE&quot;/&gt;&lt;wsp:rsid wsp:val=&quot;00F713DC&quot;/&gt;&lt;wsp:rsid wsp:val=&quot;00F71891&quot;/&gt;&lt;wsp:rsid wsp:val=&quot;00F724A7&quot;/&gt;&lt;wsp:rsid wsp:val=&quot;00F72C01&quot;/&gt;&lt;wsp:rsid wsp:val=&quot;00F73F55&quot;/&gt;&lt;wsp:rsid wsp:val=&quot;00F74B7D&quot;/&gt;&lt;wsp:rsid wsp:val=&quot;00F751D4&quot;/&gt;&lt;wsp:rsid wsp:val=&quot;00F75456&quot;/&gt;&lt;wsp:rsid wsp:val=&quot;00F7554D&quot;/&gt;&lt;wsp:rsid wsp:val=&quot;00F75C89&quot;/&gt;&lt;wsp:rsid wsp:val=&quot;00F7679F&quot;/&gt;&lt;wsp:rsid wsp:val=&quot;00F77D64&quot;/&gt;&lt;wsp:rsid wsp:val=&quot;00F80B83&quot;/&gt;&lt;wsp:rsid wsp:val=&quot;00F8107F&quot;/&gt;&lt;wsp:rsid wsp:val=&quot;00F811BF&quot;/&gt;&lt;wsp:rsid wsp:val=&quot;00F8237C&quot;/&gt;&lt;wsp:rsid wsp:val=&quot;00F82E21&quot;/&gt;&lt;wsp:rsid wsp:val=&quot;00F831B4&quot;/&gt;&lt;wsp:rsid wsp:val=&quot;00F83DBA&quot;/&gt;&lt;wsp:rsid wsp:val=&quot;00F84499&quot;/&gt;&lt;wsp:rsid wsp:val=&quot;00F84E6D&quot;/&gt;&lt;wsp:rsid wsp:val=&quot;00F850F1&quot;/&gt;&lt;wsp:rsid wsp:val=&quot;00F85F6C&quot;/&gt;&lt;wsp:rsid wsp:val=&quot;00F90856&quot;/&gt;&lt;wsp:rsid wsp:val=&quot;00F90A2D&quot;/&gt;&lt;wsp:rsid wsp:val=&quot;00F90A7E&quot;/&gt;&lt;wsp:rsid wsp:val=&quot;00F918F2&quot;/&gt;&lt;wsp:rsid wsp:val=&quot;00F91EAA&quot;/&gt;&lt;wsp:rsid wsp:val=&quot;00F920D5&quot;/&gt;&lt;wsp:rsid wsp:val=&quot;00F921CE&quot;/&gt;&lt;wsp:rsid wsp:val=&quot;00F922C3&quot;/&gt;&lt;wsp:rsid wsp:val=&quot;00F925E7&quot;/&gt;&lt;wsp:rsid wsp:val=&quot;00F93070&quot;/&gt;&lt;wsp:rsid wsp:val=&quot;00F93412&quot;/&gt;&lt;wsp:rsid wsp:val=&quot;00F95BF7&quot;/&gt;&lt;wsp:rsid wsp:val=&quot;00F97EF4&quot;/&gt;&lt;wsp:rsid wsp:val=&quot;00FA01FD&quot;/&gt;&lt;wsp:rsid wsp:val=&quot;00FA1368&quot;/&gt;&lt;wsp:rsid wsp:val=&quot;00FA180C&quot;/&gt;&lt;wsp:rsid wsp:val=&quot;00FA2799&quot;/&gt;&lt;wsp:rsid wsp:val=&quot;00FA39CD&quot;/&gt;&lt;wsp:rsid wsp:val=&quot;00FA41C9&quot;/&gt;&lt;wsp:rsid wsp:val=&quot;00FA44A4&quot;/&gt;&lt;wsp:rsid wsp:val=&quot;00FA4F63&quot;/&gt;&lt;wsp:rsid wsp:val=&quot;00FA5634&quot;/&gt;&lt;wsp:rsid wsp:val=&quot;00FA56F3&quot;/&gt;&lt;wsp:rsid wsp:val=&quot;00FA5B9F&quot;/&gt;&lt;wsp:rsid wsp:val=&quot;00FA6082&quot;/&gt;&lt;wsp:rsid wsp:val=&quot;00FA65B1&quot;/&gt;&lt;wsp:rsid wsp:val=&quot;00FA66DC&quot;/&gt;&lt;wsp:rsid wsp:val=&quot;00FA6FB5&quot;/&gt;&lt;wsp:rsid wsp:val=&quot;00FA7235&quot;/&gt;&lt;wsp:rsid wsp:val=&quot;00FA78EA&quot;/&gt;&lt;wsp:rsid wsp:val=&quot;00FA7E49&quot;/&gt;&lt;wsp:rsid wsp:val=&quot;00FA7FAF&quot;/&gt;&lt;wsp:rsid wsp:val=&quot;00FB14D7&quot;/&gt;&lt;wsp:rsid wsp:val=&quot;00FB23DA&quot;/&gt;&lt;wsp:rsid wsp:val=&quot;00FB2B76&quot;/&gt;&lt;wsp:rsid wsp:val=&quot;00FB30D1&quot;/&gt;&lt;wsp:rsid wsp:val=&quot;00FB3B2D&quot;/&gt;&lt;wsp:rsid wsp:val=&quot;00FB3BE1&quot;/&gt;&lt;wsp:rsid wsp:val=&quot;00FB3EBA&quot;/&gt;&lt;wsp:rsid wsp:val=&quot;00FB4EB9&quot;/&gt;&lt;wsp:rsid wsp:val=&quot;00FB5F15&quot;/&gt;&lt;wsp:rsid wsp:val=&quot;00FB614E&quot;/&gt;&lt;wsp:rsid wsp:val=&quot;00FB6434&quot;/&gt;&lt;wsp:rsid wsp:val=&quot;00FB6D84&quot;/&gt;&lt;wsp:rsid wsp:val=&quot;00FB6E79&quot;/&gt;&lt;wsp:rsid wsp:val=&quot;00FB6F78&quot;/&gt;&lt;wsp:rsid wsp:val=&quot;00FB7603&quot;/&gt;&lt;wsp:rsid wsp:val=&quot;00FB7728&quot;/&gt;&lt;wsp:rsid wsp:val=&quot;00FC00AD&quot;/&gt;&lt;wsp:rsid wsp:val=&quot;00FC0298&quot;/&gt;&lt;wsp:rsid wsp:val=&quot;00FC037C&quot;/&gt;&lt;wsp:rsid wsp:val=&quot;00FC1726&quot;/&gt;&lt;wsp:rsid wsp:val=&quot;00FC1BC2&quot;/&gt;&lt;wsp:rsid wsp:val=&quot;00FC255B&quot;/&gt;&lt;wsp:rsid wsp:val=&quot;00FC29BF&quot;/&gt;&lt;wsp:rsid wsp:val=&quot;00FC2B58&quot;/&gt;&lt;wsp:rsid wsp:val=&quot;00FC2F67&quot;/&gt;&lt;wsp:rsid wsp:val=&quot;00FC36E7&quot;/&gt;&lt;wsp:rsid wsp:val=&quot;00FC5D4E&quot;/&gt;&lt;wsp:rsid wsp:val=&quot;00FC6864&quot;/&gt;&lt;wsp:rsid wsp:val=&quot;00FC6FD4&quot;/&gt;&lt;wsp:rsid wsp:val=&quot;00FC7432&quot;/&gt;&lt;wsp:rsid wsp:val=&quot;00FC7BD9&quot;/&gt;&lt;wsp:rsid wsp:val=&quot;00FC7EF5&quot;/&gt;&lt;wsp:rsid wsp:val=&quot;00FD0072&quot;/&gt;&lt;wsp:rsid wsp:val=&quot;00FD09A4&quot;/&gt;&lt;wsp:rsid wsp:val=&quot;00FD1835&quot;/&gt;&lt;wsp:rsid wsp:val=&quot;00FD1D92&quot;/&gt;&lt;wsp:rsid wsp:val=&quot;00FD3510&quot;/&gt;&lt;wsp:rsid wsp:val=&quot;00FD3DF2&quot;/&gt;&lt;wsp:rsid wsp:val=&quot;00FD4050&quot;/&gt;&lt;wsp:rsid wsp:val=&quot;00FD5113&quot;/&gt;&lt;wsp:rsid wsp:val=&quot;00FD59A9&quot;/&gt;&lt;wsp:rsid wsp:val=&quot;00FD5E63&quot;/&gt;&lt;wsp:rsid wsp:val=&quot;00FD62B1&quot;/&gt;&lt;wsp:rsid wsp:val=&quot;00FD66D8&quot;/&gt;&lt;wsp:rsid wsp:val=&quot;00FD771C&quot;/&gt;&lt;wsp:rsid wsp:val=&quot;00FD7991&quot;/&gt;&lt;wsp:rsid wsp:val=&quot;00FE01B4&quot;/&gt;&lt;wsp:rsid wsp:val=&quot;00FE0903&quot;/&gt;&lt;wsp:rsid wsp:val=&quot;00FE0B78&quot;/&gt;&lt;wsp:rsid wsp:val=&quot;00FE2BF2&quot;/&gt;&lt;wsp:rsid wsp:val=&quot;00FE2D4F&quot;/&gt;&lt;wsp:rsid wsp:val=&quot;00FE3437&quot;/&gt;&lt;wsp:rsid wsp:val=&quot;00FE37DF&quot;/&gt;&lt;wsp:rsid wsp:val=&quot;00FE48D1&quot;/&gt;&lt;wsp:rsid wsp:val=&quot;00FE5CBC&quot;/&gt;&lt;wsp:rsid wsp:val=&quot;00FE674D&quot;/&gt;&lt;wsp:rsid wsp:val=&quot;00FE6E85&quot;/&gt;&lt;wsp:rsid wsp:val=&quot;00FF313E&quot;/&gt;&lt;wsp:rsid wsp:val=&quot;00FF319E&quot;/&gt;&lt;wsp:rsid wsp:val=&quot;00FF53AC&quot;/&gt;&lt;wsp:rsid wsp:val=&quot;00FF5558&quot;/&gt;&lt;wsp:rsid wsp:val=&quot;00FF7352&quot;/&gt;&lt;wsp:rsid wsp:val=&quot;00FF7793&quot;/&gt;&lt;wsp:rsid wsp:val=&quot;168E458F&quot;/&gt;&lt;wsp:rsid wsp:val=&quot;5CD76573&quot;/&gt;&lt;wsp:rsid wsp:val=&quot;62B81204&quot;/&gt;&lt;/wsp:rsids&gt;&lt;/w:docPr&gt;&lt;w:body&gt;&lt;w:p wsp:rsidR=&quot;00000000&quot; wsp:rsidRDefault=&quot;002B1DA4&quot;&gt;&lt;m:oMathPara&gt;&lt;m:oMath&gt;&lt;m:r&gt;&lt;m:rPr&gt;&lt;m:sty m:val=&quot;p&quot;/&gt;&lt;/m:rPr&gt;&lt;w:rPr&gt;&lt;w:rFonts w:ascii=&quot;Cambria Math&quot;/&gt;&lt;w:sz w:val=&quot;24&quot;/&gt;&lt;/w:rPr&gt;&lt;m:t&gt;×&lt;/m:t&gt;&lt;/m:r&gt;&lt;/m:oMath&gt;&lt;/m:oMathPara&gt;&lt;/w:p&gt;&lt;w:sectPr wsp:rsidR=&quot;00000000&quot;&gt;&lt;w:pgSz w:w=&quot;12240&quot; w:h=&quot;15840&quot;/&gt;&lt;w:pgMar w:top=&quot;1440&quot; ttttttttttttttttttttttttttw:Pright=&quot;1800&quot; w:bottom=&quot;1440&quot; w:left=&quot;1800&quot; w:header=&quot;720&quot; w:footer=&quot;720&quot; w:gutter=&quot;0&quot;/&gt;&lt;w:cols w:space=&quot;720&quot;/&gt;&lt;/w:sectPr&gt;&lt;/w:body&gt;&lt;/w:wordDocument&gt;">
                  <v:path/>
                  <v:fill on="f" focussize="0,0"/>
                  <v:stroke/>
                  <v:imagedata r:id="rId45" chromakey="#FFFFFF" o:title=""/>
                  <o:lock v:ext="edit" aspectratio="t"/>
                  <w10:wrap type="none"/>
                  <w10:anchorlock/>
                </v:shape>
              </w:pict>
            </w:r>
            <w:r>
              <w:rPr>
                <w:rFonts w:hint="default" w:ascii="Times New Roman" w:hAnsi="Times New Roman" w:cs="Times New Roman"/>
                <w:b w:val="0"/>
                <w:bCs w:val="0"/>
                <w:color w:val="auto"/>
                <w:sz w:val="24"/>
                <w:szCs w:val="24"/>
                <w:highlight w:val="none"/>
              </w:rPr>
              <w:fldChar w:fldCharType="end"/>
            </w:r>
            <w:r>
              <w:rPr>
                <w:rFonts w:hint="default" w:ascii="Times New Roman" w:hAnsi="Times New Roman" w:cs="Times New Roman"/>
                <w:b w:val="0"/>
                <w:bCs w:val="0"/>
                <w:color w:val="auto"/>
                <w:sz w:val="24"/>
                <w:szCs w:val="24"/>
                <w:highlight w:val="none"/>
              </w:rPr>
              <w:t xml:space="preserve">（ </w:t>
            </w:r>
            <m:oMath>
              <m:f>
                <m:fPr>
                  <m:ctrlPr>
                    <w:rPr>
                      <w:rFonts w:hint="default" w:ascii="Cambria Math" w:hAnsi="Cambria Math" w:cs="Times New Roman"/>
                      <w:b w:val="0"/>
                      <w:bCs w:val="0"/>
                      <w:color w:val="auto"/>
                      <w:sz w:val="24"/>
                      <w:szCs w:val="24"/>
                      <w:highlight w:val="none"/>
                    </w:rPr>
                  </m:ctrlPr>
                </m:fPr>
                <m:num>
                  <m:sSub>
                    <m:sSubPr>
                      <m:ctrlPr>
                        <w:rPr>
                          <w:rFonts w:hint="default" w:ascii="Cambria Math" w:hAnsi="Cambria Math" w:cs="Times New Roman"/>
                          <w:b w:val="0"/>
                          <w:bCs w:val="0"/>
                          <w:color w:val="auto"/>
                          <w:sz w:val="24"/>
                          <w:szCs w:val="24"/>
                          <w:highlight w:val="none"/>
                        </w:rPr>
                      </m:ctrlPr>
                    </m:sSubPr>
                    <m:e>
                      <m:r>
                        <m:rPr>
                          <m:sty m:val="p"/>
                        </m:rPr>
                        <w:rPr>
                          <w:rFonts w:hint="default" w:ascii="Cambria Math" w:hAnsi="Cambria Math" w:cs="Times New Roman"/>
                          <w:color w:val="auto"/>
                          <w:sz w:val="24"/>
                          <w:szCs w:val="24"/>
                          <w:highlight w:val="none"/>
                        </w:rPr>
                        <m:t>A</m:t>
                      </m:r>
                      <m:ctrlPr>
                        <w:rPr>
                          <w:rFonts w:hint="default" w:ascii="Cambria Math" w:hAnsi="Cambria Math" w:cs="Times New Roman"/>
                          <w:b w:val="0"/>
                          <w:bCs w:val="0"/>
                          <w:color w:val="auto"/>
                          <w:sz w:val="24"/>
                          <w:szCs w:val="24"/>
                          <w:highlight w:val="none"/>
                        </w:rPr>
                      </m:ctrlPr>
                    </m:e>
                    <m:sub>
                      <m:r>
                        <m:rPr>
                          <m:sty m:val="p"/>
                        </m:rPr>
                        <w:rPr>
                          <w:rFonts w:hint="default" w:ascii="Cambria Math" w:hAnsi="Cambria Math" w:cs="Times New Roman"/>
                          <w:color w:val="auto"/>
                          <w:sz w:val="24"/>
                          <w:szCs w:val="24"/>
                          <w:highlight w:val="none"/>
                        </w:rPr>
                        <m:t>ar</m:t>
                      </m:r>
                      <m:ctrlPr>
                        <w:rPr>
                          <w:rFonts w:hint="default" w:ascii="Cambria Math" w:hAnsi="Cambria Math" w:cs="Times New Roman"/>
                          <w:b w:val="0"/>
                          <w:bCs w:val="0"/>
                          <w:color w:val="auto"/>
                          <w:sz w:val="24"/>
                          <w:szCs w:val="24"/>
                          <w:highlight w:val="none"/>
                        </w:rPr>
                      </m:ctrlPr>
                    </m:sub>
                  </m:sSub>
                  <m:ctrlPr>
                    <w:rPr>
                      <w:rFonts w:hint="default" w:ascii="Cambria Math" w:hAnsi="Cambria Math" w:cs="Times New Roman"/>
                      <w:b w:val="0"/>
                      <w:bCs w:val="0"/>
                      <w:color w:val="auto"/>
                      <w:sz w:val="24"/>
                      <w:szCs w:val="24"/>
                      <w:highlight w:val="none"/>
                    </w:rPr>
                  </m:ctrlPr>
                </m:num>
                <m:den>
                  <m:r>
                    <m:rPr>
                      <m:sty m:val="p"/>
                    </m:rPr>
                    <w:rPr>
                      <w:rFonts w:hint="default" w:ascii="Cambria Math" w:hAnsi="Cambria Math" w:cs="Times New Roman"/>
                      <w:color w:val="auto"/>
                      <w:sz w:val="24"/>
                      <w:szCs w:val="24"/>
                      <w:highlight w:val="none"/>
                    </w:rPr>
                    <m:t>100</m:t>
                  </m:r>
                  <m:ctrlPr>
                    <w:rPr>
                      <w:rFonts w:hint="default" w:ascii="Cambria Math" w:hAnsi="Cambria Math" w:cs="Times New Roman"/>
                      <w:b w:val="0"/>
                      <w:bCs w:val="0"/>
                      <w:color w:val="auto"/>
                      <w:sz w:val="24"/>
                      <w:szCs w:val="24"/>
                      <w:highlight w:val="none"/>
                    </w:rPr>
                  </m:ctrlPr>
                </m:den>
              </m:f>
            </m:oMath>
            <w:r>
              <w:rPr>
                <w:rFonts w:hint="default" w:ascii="Times New Roman" w:hAnsi="Times New Roman" w:cs="Times New Roman"/>
                <w:b w:val="0"/>
                <w:bCs w:val="0"/>
                <w:color w:val="auto"/>
                <w:sz w:val="24"/>
                <w:szCs w:val="24"/>
                <w:highlight w:val="none"/>
              </w:rPr>
              <w:t xml:space="preserve"> +</w:t>
            </w:r>
            <w:r>
              <w:rPr>
                <w:rFonts w:hint="default" w:ascii="Times New Roman" w:hAnsi="Times New Roman" w:cs="Times New Roman"/>
                <w:b w:val="0"/>
                <w:bCs w:val="0"/>
                <w:color w:val="auto"/>
                <w:sz w:val="24"/>
                <w:szCs w:val="24"/>
                <w:highlight w:val="none"/>
              </w:rPr>
              <w:fldChar w:fldCharType="begin"/>
            </w:r>
            <w:r>
              <w:rPr>
                <w:rFonts w:hint="default" w:ascii="Times New Roman" w:hAnsi="Times New Roman" w:cs="Times New Roman"/>
                <w:b w:val="0"/>
                <w:bCs w:val="0"/>
                <w:color w:val="auto"/>
                <w:sz w:val="24"/>
                <w:szCs w:val="24"/>
                <w:highlight w:val="none"/>
              </w:rPr>
              <w:instrText xml:space="preserve"> QUOTE </w:instrText>
            </w:r>
            <w:r>
              <w:rPr>
                <w:rFonts w:hint="default" w:ascii="Times New Roman" w:hAnsi="Times New Roman" w:cs="Times New Roman"/>
                <w:b w:val="0"/>
                <w:bCs w:val="0"/>
                <w:color w:val="auto"/>
                <w:position w:val="-17"/>
                <w:sz w:val="24"/>
                <w:szCs w:val="24"/>
                <w:highlight w:val="none"/>
              </w:rPr>
              <w:pict>
                <v:shape id="_x0000_i1042" o:spt="75" type="#_x0000_t75" style="height:31.45pt;width:57.3pt;" filled="f" coordsize="21600,21600"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bordersDontSurroundHeader/&gt;&lt;w:bordersDontSurroundFooter/&gt;&lt;w:gutterAtTop/&gt;&lt;w:hideSpellingErrors/&gt;&lt;w:stylePaneFormatFilter w:val=&quot;3F01&quot;/&gt;&lt;w:defaultTabStop w:val=&quot;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targetScreenSz w:val=&quot;1024x768&quot;/&gt;&lt;w:savePreviewPicture/&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useFELayout/&gt;&lt;/w:compat&gt;&lt;wsp:rsids&gt;&lt;wsp:rsidRoot wsp:val=&quot;00A3744C&quot;/&gt;&lt;wsp:rsid wsp:val=&quot;000005FE&quot;/&gt;&lt;wsp:rsid wsp:val=&quot;00000E72&quot;/&gt;&lt;wsp:rsid wsp:val=&quot;00001AD6&quot;/&gt;&lt;wsp:rsid wsp:val=&quot;0000238C&quot;/&gt;&lt;wsp:rsid wsp:val=&quot;00002F9B&quot;/&gt;&lt;wsp:rsid wsp:val=&quot;00003CF2&quot;/&gt;&lt;wsp:rsid wsp:val=&quot;00004E62&quot;/&gt;&lt;wsp:rsid wsp:val=&quot;000054C3&quot;/&gt;&lt;wsp:rsid wsp:val=&quot;00005DAB&quot;/&gt;&lt;wsp:rsid wsp:val=&quot;00005DC5&quot;/&gt;&lt;wsp:rsid wsp:val=&quot;000061D4&quot;/&gt;&lt;wsp:rsid wsp:val=&quot;00006363&quot;/&gt;&lt;wsp:rsid wsp:val=&quot;00006BB0&quot;/&gt;&lt;wsp:rsid wsp:val=&quot;00006ED1&quot;/&gt;&lt;wsp:rsid wsp:val=&quot;00007CCA&quot;/&gt;&lt;wsp:rsid wsp:val=&quot;00007D3B&quot;/&gt;&lt;wsp:rsid wsp:val=&quot;00010019&quot;/&gt;&lt;wsp:rsid wsp:val=&quot;00010051&quot;/&gt;&lt;wsp:rsid wsp:val=&quot;00010161&quot;/&gt;&lt;wsp:rsid wsp:val=&quot;000101E6&quot;/&gt;&lt;wsp:rsid wsp:val=&quot;000105AD&quot;/&gt;&lt;wsp:rsid wsp:val=&quot;00010C4C&quot;/&gt;&lt;wsp:rsid wsp:val=&quot;00010E8B&quot;/&gt;&lt;wsp:rsid wsp:val=&quot;0001176D&quot;/&gt;&lt;wsp:rsid wsp:val=&quot;00011FEC&quot;/&gt;&lt;wsp:rsid wsp:val=&quot;00012D59&quot;/&gt;&lt;wsp:rsid wsp:val=&quot;0001434C&quot;/&gt;&lt;wsp:rsid wsp:val=&quot;000145CC&quot;/&gt;&lt;wsp:rsid wsp:val=&quot;0001464F&quot;/&gt;&lt;wsp:rsid wsp:val=&quot;00014735&quot;/&gt;&lt;wsp:rsid wsp:val=&quot;00014CF9&quot;/&gt;&lt;wsp:rsid wsp:val=&quot;00015214&quot;/&gt;&lt;wsp:rsid wsp:val=&quot;0001589A&quot;/&gt;&lt;wsp:rsid wsp:val=&quot;0001644F&quot;/&gt;&lt;wsp:rsid wsp:val=&quot;00020179&quot;/&gt;&lt;wsp:rsid wsp:val=&quot;00021CD2&quot;/&gt;&lt;wsp:rsid wsp:val=&quot;00021E3C&quot;/&gt;&lt;wsp:rsid wsp:val=&quot;00022B15&quot;/&gt;&lt;wsp:rsid wsp:val=&quot;00022C49&quot;/&gt;&lt;wsp:rsid wsp:val=&quot;00022C9B&quot;/&gt;&lt;wsp:rsid wsp:val=&quot;00023214&quot;/&gt;&lt;wsp:rsid wsp:val=&quot;000241B2&quot;/&gt;&lt;wsp:rsid wsp:val=&quot;0002460F&quot;/&gt;&lt;wsp:rsid wsp:val=&quot;00024E09&quot;/&gt;&lt;wsp:rsid wsp:val=&quot;000250B4&quot;/&gt;&lt;wsp:rsid wsp:val=&quot;000257F1&quot;/&gt;&lt;wsp:rsid wsp:val=&quot;00025C9B&quot;/&gt;&lt;wsp:rsid wsp:val=&quot;00025E7B&quot;/&gt;&lt;wsp:rsid wsp:val=&quot;00026F3C&quot;/&gt;&lt;wsp:rsid wsp:val=&quot;00030480&quot;/&gt;&lt;wsp:rsid wsp:val=&quot;000307F8&quot;/&gt;&lt;wsp:rsid wsp:val=&quot;000326C6&quot;/&gt;&lt;wsp:rsid wsp:val=&quot;00033048&quot;/&gt;&lt;wsp:rsid wsp:val=&quot;00034F02&quot;/&gt;&lt;wsp:rsid wsp:val=&quot;000369AE&quot;/&gt;&lt;wsp:rsid wsp:val=&quot;00037CED&quot;/&gt;&lt;wsp:rsid wsp:val=&quot;00041212&quot;/&gt;&lt;wsp:rsid wsp:val=&quot;000416AD&quot;/&gt;&lt;wsp:rsid wsp:val=&quot;00042775&quot;/&gt;&lt;wsp:rsid wsp:val=&quot;00043FB9&quot;/&gt;&lt;wsp:rsid wsp:val=&quot;000445AA&quot;/&gt;&lt;wsp:rsid wsp:val=&quot;0004474B&quot;/&gt;&lt;wsp:rsid wsp:val=&quot;00044E87&quot;/&gt;&lt;wsp:rsid wsp:val=&quot;00045517&quot;/&gt;&lt;wsp:rsid wsp:val=&quot;00045EBA&quot;/&gt;&lt;wsp:rsid wsp:val=&quot;0004626E&quot;/&gt;&lt;wsp:rsid wsp:val=&quot;00047571&quot;/&gt;&lt;wsp:rsid wsp:val=&quot;00047ED2&quot;/&gt;&lt;wsp:rsid wsp:val=&quot;000506D4&quot;/&gt;&lt;wsp:rsid wsp:val=&quot;00052135&quot;/&gt;&lt;wsp:rsid wsp:val=&quot;00053BB8&quot;/&gt;&lt;wsp:rsid wsp:val=&quot;00053D74&quot;/&gt;&lt;wsp:rsid wsp:val=&quot;00054AF1&quot;/&gt;&lt;wsp:rsid wsp:val=&quot;00054EF2&quot;/&gt;&lt;wsp:rsid wsp:val=&quot;00055196&quot;/&gt;&lt;wsp:rsid wsp:val=&quot;00055371&quot;/&gt;&lt;wsp:rsid wsp:val=&quot;00055768&quot;/&gt;&lt;wsp:rsid wsp:val=&quot;000557FB&quot;/&gt;&lt;wsp:rsid wsp:val=&quot;000566EB&quot;/&gt;&lt;wsp:rsid wsp:val=&quot;00056F23&quot;/&gt;&lt;wsp:rsid wsp:val=&quot;00057183&quot;/&gt;&lt;wsp:rsid wsp:val=&quot;000573D6&quot;/&gt;&lt;wsp:rsid wsp:val=&quot;00057AA2&quot;/&gt;&lt;wsp:rsid wsp:val=&quot;00057D9B&quot;/&gt;&lt;wsp:rsid wsp:val=&quot;0006019A&quot;/&gt;&lt;wsp:rsid wsp:val=&quot;000603D9&quot;/&gt;&lt;wsp:rsid wsp:val=&quot;00060527&quot;/&gt;&lt;wsp:rsid wsp:val=&quot;00061118&quot;/&gt;&lt;wsp:rsid wsp:val=&quot;0006183B&quot;/&gt;&lt;wsp:rsid wsp:val=&quot;0006184C&quot;/&gt;&lt;wsp:rsid wsp:val=&quot;0006216B&quot;/&gt;&lt;wsp:rsid wsp:val=&quot;0006306B&quot;/&gt;&lt;wsp:rsid wsp:val=&quot;000630A5&quot;/&gt;&lt;wsp:rsid wsp:val=&quot;00063B02&quot;/&gt;&lt;wsp:rsid wsp:val=&quot;00064451&quot;/&gt;&lt;wsp:rsid wsp:val=&quot;000644D2&quot;/&gt;&lt;wsp:rsid wsp:val=&quot;00064B1A&quot;/&gt;&lt;wsp:rsid wsp:val=&quot;00064C42&quot;/&gt;&lt;wsp:rsid wsp:val=&quot;0006521D&quot;/&gt;&lt;wsp:rsid wsp:val=&quot;000665A1&quot;/&gt;&lt;wsp:rsid wsp:val=&quot;00066734&quot;/&gt;&lt;wsp:rsid wsp:val=&quot;00066FEC&quot;/&gt;&lt;wsp:rsid wsp:val=&quot;00067428&quot;/&gt;&lt;wsp:rsid wsp:val=&quot;0007023A&quot;/&gt;&lt;wsp:rsid wsp:val=&quot;00070538&quot;/&gt;&lt;wsp:rsid wsp:val=&quot;00070999&quot;/&gt;&lt;wsp:rsid wsp:val=&quot;00070BFF&quot;/&gt;&lt;wsp:rsid wsp:val=&quot;00071103&quot;/&gt;&lt;wsp:rsid wsp:val=&quot;000711D8&quot;/&gt;&lt;wsp:rsid wsp:val=&quot;000714ED&quot;/&gt;&lt;wsp:rsid wsp:val=&quot;000720E9&quot;/&gt;&lt;wsp:rsid wsp:val=&quot;000720F7&quot;/&gt;&lt;wsp:rsid wsp:val=&quot;00072498&quot;/&gt;&lt;wsp:rsid wsp:val=&quot;0007305D&quot;/&gt;&lt;wsp:rsid wsp:val=&quot;00073614&quot;/&gt;&lt;wsp:rsid wsp:val=&quot;0007485D&quot;/&gt;&lt;wsp:rsid wsp:val=&quot;00074880&quot;/&gt;&lt;wsp:rsid wsp:val=&quot;00074AC2&quot;/&gt;&lt;wsp:rsid wsp:val=&quot;00074C9E&quot;/&gt;&lt;wsp:rsid wsp:val=&quot;00075029&quot;/&gt;&lt;wsp:rsid wsp:val=&quot;00075295&quot;/&gt;&lt;wsp:rsid wsp:val=&quot;00076130&quot;/&gt;&lt;wsp:rsid wsp:val=&quot;00076453&quot;/&gt;&lt;wsp:rsid wsp:val=&quot;000776E1&quot;/&gt;&lt;wsp:rsid wsp:val=&quot;000801BD&quot;/&gt;&lt;wsp:rsid wsp:val=&quot;00081134&quot;/&gt;&lt;wsp:rsid wsp:val=&quot;00081A20&quot;/&gt;&lt;wsp:rsid wsp:val=&quot;00081B37&quot;/&gt;&lt;wsp:rsid wsp:val=&quot;00082DD0&quot;/&gt;&lt;wsp:rsid wsp:val=&quot;00082DD2&quot;/&gt;&lt;wsp:rsid wsp:val=&quot;0008329A&quot;/&gt;&lt;wsp:rsid wsp:val=&quot;000838EB&quot;/&gt;&lt;wsp:rsid wsp:val=&quot;00083977&quot;/&gt;&lt;wsp:rsid wsp:val=&quot;00083F53&quot;/&gt;&lt;wsp:rsid wsp:val=&quot;00084E86&quot;/&gt;&lt;wsp:rsid wsp:val=&quot;00085C15&quot;/&gt;&lt;wsp:rsid wsp:val=&quot;00085DC6&quot;/&gt;&lt;wsp:rsid wsp:val=&quot;00087C03&quot;/&gt;&lt;wsp:rsid wsp:val=&quot;00091321&quot;/&gt;&lt;wsp:rsid wsp:val=&quot;000929D0&quot;/&gt;&lt;wsp:rsid wsp:val=&quot;00094001&quot;/&gt;&lt;wsp:rsid wsp:val=&quot;00094DA2&quot;/&gt;&lt;wsp:rsid wsp:val=&quot;00094DA5&quot;/&gt;&lt;wsp:rsid wsp:val=&quot;00095E21&quot;/&gt;&lt;wsp:rsid wsp:val=&quot;0009637C&quot;/&gt;&lt;wsp:rsid wsp:val=&quot;0009695D&quot;/&gt;&lt;wsp:rsid wsp:val=&quot;00096D8C&quot;/&gt;&lt;wsp:rsid wsp:val=&quot;00096E3D&quot;/&gt;&lt;wsp:rsid wsp:val=&quot;00097935&quot;/&gt;&lt;wsp:rsid wsp:val=&quot;00097B10&quot;/&gt;&lt;wsp:rsid wsp:val=&quot;000A0A5F&quot;/&gt;&lt;wsp:rsid wsp:val=&quot;000A2A63&quot;/&gt;&lt;wsp:rsid wsp:val=&quot;000A3732&quot;/&gt;&lt;wsp:rsid wsp:val=&quot;000A3EA4&quot;/&gt;&lt;wsp:rsid wsp:val=&quot;000A5F7D&quot;/&gt;&lt;wsp:rsid wsp:val=&quot;000A667E&quot;/&gt;&lt;wsp:rsid wsp:val=&quot;000A6FFB&quot;/&gt;&lt;wsp:rsid wsp:val=&quot;000A7A6C&quot;/&gt;&lt;wsp:rsid wsp:val=&quot;000A7F9D&quot;/&gt;&lt;wsp:rsid wsp:val=&quot;000B0561&quot;/&gt;&lt;wsp:rsid wsp:val=&quot;000B1589&quot;/&gt;&lt;wsp:rsid wsp:val=&quot;000B16B8&quot;/&gt;&lt;wsp:rsid wsp:val=&quot;000B1721&quot;/&gt;&lt;wsp:rsid wsp:val=&quot;000B18A3&quot;/&gt;&lt;wsp:rsid wsp:val=&quot;000B1F5B&quot;/&gt;&lt;wsp:rsid wsp:val=&quot;000B34EC&quot;/&gt;&lt;wsp:rsid wsp:val=&quot;000B429D&quot;/&gt;&lt;wsp:rsid wsp:val=&quot;000B4C1C&quot;/&gt;&lt;wsp:rsid wsp:val=&quot;000B4CF3&quot;/&gt;&lt;wsp:rsid wsp:val=&quot;000B51C5&quot;/&gt;&lt;wsp:rsid wsp:val=&quot;000B589D&quot;/&gt;&lt;wsp:rsid wsp:val=&quot;000B5C1F&quot;/&gt;&lt;wsp:rsid wsp:val=&quot;000B6160&quot;/&gt;&lt;wsp:rsid wsp:val=&quot;000B7313&quot;/&gt;&lt;wsp:rsid wsp:val=&quot;000B7D84&quot;/&gt;&lt;wsp:rsid wsp:val=&quot;000C08EA&quot;/&gt;&lt;wsp:rsid wsp:val=&quot;000C0C7A&quot;/&gt;&lt;wsp:rsid wsp:val=&quot;000C213C&quot;/&gt;&lt;wsp:rsid wsp:val=&quot;000C2350&quot;/&gt;&lt;wsp:rsid wsp:val=&quot;000C2847&quot;/&gt;&lt;wsp:rsid wsp:val=&quot;000C2D5A&quot;/&gt;&lt;wsp:rsid wsp:val=&quot;000C3670&quot;/&gt;&lt;wsp:rsid wsp:val=&quot;000C3DA6&quot;/&gt;&lt;wsp:rsid wsp:val=&quot;000C4336&quot;/&gt;&lt;wsp:rsid wsp:val=&quot;000C4F7C&quot;/&gt;&lt;wsp:rsid wsp:val=&quot;000C523B&quot;/&gt;&lt;wsp:rsid wsp:val=&quot;000C5BC3&quot;/&gt;&lt;wsp:rsid wsp:val=&quot;000C64DD&quot;/&gt;&lt;wsp:rsid wsp:val=&quot;000C65B7&quot;/&gt;&lt;wsp:rsid wsp:val=&quot;000C6CD0&quot;/&gt;&lt;wsp:rsid wsp:val=&quot;000C753D&quot;/&gt;&lt;wsp:rsid wsp:val=&quot;000C794D&quot;/&gt;&lt;wsp:rsid wsp:val=&quot;000C7A13&quot;/&gt;&lt;wsp:rsid wsp:val=&quot;000D09FC&quot;/&gt;&lt;wsp:rsid wsp:val=&quot;000D1626&quot;/&gt;&lt;wsp:rsid wsp:val=&quot;000D1BD3&quot;/&gt;&lt;wsp:rsid wsp:val=&quot;000D226B&quot;/&gt;&lt;wsp:rsid wsp:val=&quot;000D2BB4&quot;/&gt;&lt;wsp:rsid wsp:val=&quot;000D441F&quot;/&gt;&lt;wsp:rsid wsp:val=&quot;000D47BB&quot;/&gt;&lt;wsp:rsid wsp:val=&quot;000D58FD&quot;/&gt;&lt;wsp:rsid wsp:val=&quot;000D61F8&quot;/&gt;&lt;wsp:rsid wsp:val=&quot;000D66A0&quot;/&gt;&lt;wsp:rsid wsp:val=&quot;000D789E&quot;/&gt;&lt;wsp:rsid wsp:val=&quot;000D7D61&quot;/&gt;&lt;wsp:rsid wsp:val=&quot;000E1AB5&quot;/&gt;&lt;wsp:rsid wsp:val=&quot;000E30DD&quot;/&gt;&lt;wsp:rsid wsp:val=&quot;000E3306&quot;/&gt;&lt;wsp:rsid wsp:val=&quot;000E3557&quot;/&gt;&lt;wsp:rsid wsp:val=&quot;000E356F&quot;/&gt;&lt;wsp:rsid wsp:val=&quot;000E376A&quot;/&gt;&lt;wsp:rsid wsp:val=&quot;000E3B80&quot;/&gt;&lt;wsp:rsid wsp:val=&quot;000E3D27&quot;/&gt;&lt;wsp:rsid wsp:val=&quot;000E4F41&quot;/&gt;&lt;wsp:rsid wsp:val=&quot;000E52C9&quot;/&gt;&lt;wsp:rsid wsp:val=&quot;000E5C21&quot;/&gt;&lt;wsp:rsid wsp:val=&quot;000E5F9A&quot;/&gt;&lt;wsp:rsid wsp:val=&quot;000E610F&quot;/&gt;&lt;wsp:rsid wsp:val=&quot;000E6287&quot;/&gt;&lt;wsp:rsid wsp:val=&quot;000E660C&quot;/&gt;&lt;wsp:rsid wsp:val=&quot;000E673F&quot;/&gt;&lt;wsp:rsid wsp:val=&quot;000E6CAB&quot;/&gt;&lt;wsp:rsid wsp:val=&quot;000E73BF&quot;/&gt;&lt;wsp:rsid wsp:val=&quot;000F06DC&quot;/&gt;&lt;wsp:rsid wsp:val=&quot;000F074B&quot;/&gt;&lt;wsp:rsid wsp:val=&quot;000F0E5D&quot;/&gt;&lt;wsp:rsid wsp:val=&quot;000F1FE4&quot;/&gt;&lt;wsp:rsid wsp:val=&quot;000F2685&quot;/&gt;&lt;wsp:rsid wsp:val=&quot;000F40B9&quot;/&gt;&lt;wsp:rsid wsp:val=&quot;000F512D&quot;/&gt;&lt;wsp:rsid wsp:val=&quot;000F57A9&quot;/&gt;&lt;wsp:rsid wsp:val=&quot;000F59BD&quot;/&gt;&lt;wsp:rsid wsp:val=&quot;000F6042&quot;/&gt;&lt;wsp:rsid wsp:val=&quot;000F605B&quot;/&gt;&lt;wsp:rsid wsp:val=&quot;000F71D5&quot;/&gt;&lt;wsp:rsid wsp:val=&quot;000F7927&quot;/&gt;&lt;wsp:rsid wsp:val=&quot;000F7A34&quot;/&gt;&lt;wsp:rsid wsp:val=&quot;000F7A6B&quot;/&gt;&lt;wsp:rsid wsp:val=&quot;000F7F5A&quot;/&gt;&lt;wsp:rsid wsp:val=&quot;00101351&quot;/&gt;&lt;wsp:rsid wsp:val=&quot;001016F2&quot;/&gt;&lt;wsp:rsid wsp:val=&quot;00101C9F&quot;/&gt;&lt;wsp:rsid wsp:val=&quot;00103352&quot;/&gt;&lt;wsp:rsid wsp:val=&quot;00103729&quot;/&gt;&lt;wsp:rsid wsp:val=&quot;00103C34&quot;/&gt;&lt;wsp:rsid wsp:val=&quot;0010409A&quot;/&gt;&lt;wsp:rsid wsp:val=&quot;001048F1&quot;/&gt;&lt;wsp:rsid wsp:val=&quot;00104ED2&quot;/&gt;&lt;wsp:rsid wsp:val=&quot;0010575C&quot;/&gt;&lt;wsp:rsid wsp:val=&quot;0010579F&quot;/&gt;&lt;wsp:rsid wsp:val=&quot;00105DC3&quot;/&gt;&lt;wsp:rsid wsp:val=&quot;00105E2F&quot;/&gt;&lt;wsp:rsid wsp:val=&quot;00106B2D&quot;/&gt;&lt;wsp:rsid wsp:val=&quot;00106FD5&quot;/&gt;&lt;wsp:rsid wsp:val=&quot;00110180&quot;/&gt;&lt;wsp:rsid wsp:val=&quot;001111ED&quot;/&gt;&lt;wsp:rsid wsp:val=&quot;0011135C&quot;/&gt;&lt;wsp:rsid wsp:val=&quot;00111DAE&quot;/&gt;&lt;wsp:rsid wsp:val=&quot;0011258B&quot;/&gt;&lt;wsp:rsid wsp:val=&quot;0011280A&quot;/&gt;&lt;wsp:rsid wsp:val=&quot;0011282A&quot;/&gt;&lt;wsp:rsid wsp:val=&quot;00114389&quot;/&gt;&lt;wsp:rsid wsp:val=&quot;00114583&quot;/&gt;&lt;wsp:rsid wsp:val=&quot;00114BBA&quot;/&gt;&lt;wsp:rsid wsp:val=&quot;00115336&quot;/&gt;&lt;wsp:rsid wsp:val=&quot;00115590&quot;/&gt;&lt;wsp:rsid wsp:val=&quot;00115D22&quot;/&gt;&lt;wsp:rsid wsp:val=&quot;0011626F&quot;/&gt;&lt;wsp:rsid wsp:val=&quot;00116A1C&quot;/&gt;&lt;wsp:rsid wsp:val=&quot;00117F7A&quot;/&gt;&lt;wsp:rsid wsp:val=&quot;00120305&quot;/&gt;&lt;wsp:rsid wsp:val=&quot;00120596&quot;/&gt;&lt;wsp:rsid wsp:val=&quot;001212BE&quot;/&gt;&lt;wsp:rsid wsp:val=&quot;00121AEE&quot;/&gt;&lt;wsp:rsid wsp:val=&quot;00121B71&quot;/&gt;&lt;wsp:rsid wsp:val=&quot;00122599&quot;/&gt;&lt;wsp:rsid wsp:val=&quot;00123A45&quot;/&gt;&lt;wsp:rsid wsp:val=&quot;00123CD6&quot;/&gt;&lt;wsp:rsid wsp:val=&quot;00124692&quot;/&gt;&lt;wsp:rsid wsp:val=&quot;0012473C&quot;/&gt;&lt;wsp:rsid wsp:val=&quot;00125AC4&quot;/&gt;&lt;wsp:rsid wsp:val=&quot;00126F28&quot;/&gt;&lt;wsp:rsid wsp:val=&quot;00127091&quot;/&gt;&lt;wsp:rsid wsp:val=&quot;001303C2&quot;/&gt;&lt;wsp:rsid wsp:val=&quot;001312BA&quot;/&gt;&lt;wsp:rsid wsp:val=&quot;00131B33&quot;/&gt;&lt;wsp:rsid wsp:val=&quot;00132028&quot;/&gt;&lt;wsp:rsid wsp:val=&quot;00132666&quot;/&gt;&lt;wsp:rsid wsp:val=&quot;00133238&quot;/&gt;&lt;wsp:rsid wsp:val=&quot;00134C71&quot;/&gt;&lt;wsp:rsid wsp:val=&quot;00135A2C&quot;/&gt;&lt;wsp:rsid wsp:val=&quot;00135AA0&quot;/&gt;&lt;wsp:rsid wsp:val=&quot;00136FBD&quot;/&gt;&lt;wsp:rsid wsp:val=&quot;00137EFB&quot;/&gt;&lt;wsp:rsid wsp:val=&quot;001404FE&quot;/&gt;&lt;wsp:rsid wsp:val=&quot;00140C8D&quot;/&gt;&lt;wsp:rsid wsp:val=&quot;00141304&quot;/&gt;&lt;wsp:rsid wsp:val=&quot;0014144C&quot;/&gt;&lt;wsp:rsid wsp:val=&quot;0014185B&quot;/&gt;&lt;wsp:rsid wsp:val=&quot;0014190C&quot;/&gt;&lt;wsp:rsid wsp:val=&quot;001426B0&quot;/&gt;&lt;wsp:rsid wsp:val=&quot;001428CA&quot;/&gt;&lt;wsp:rsid wsp:val=&quot;0014310D&quot;/&gt;&lt;wsp:rsid wsp:val=&quot;00143AF5&quot;/&gt;&lt;wsp:rsid wsp:val=&quot;00143ED0&quot;/&gt;&lt;wsp:rsid wsp:val=&quot;00143FAB&quot;/&gt;&lt;wsp:rsid wsp:val=&quot;00144721&quot;/&gt;&lt;wsp:rsid wsp:val=&quot;0014596E&quot;/&gt;&lt;wsp:rsid wsp:val=&quot;00145CD3&quot;/&gt;&lt;wsp:rsid wsp:val=&quot;001474E2&quot;/&gt;&lt;wsp:rsid wsp:val=&quot;00147C82&quot;/&gt;&lt;wsp:rsid wsp:val=&quot;001517F2&quot;/&gt;&lt;wsp:rsid wsp:val=&quot;00154D07&quot;/&gt;&lt;wsp:rsid wsp:val=&quot;0015562B&quot;/&gt;&lt;wsp:rsid wsp:val=&quot;001569BE&quot;/&gt;&lt;wsp:rsid wsp:val=&quot;00156B90&quot;/&gt;&lt;wsp:rsid wsp:val=&quot;00156DB1&quot;/&gt;&lt;wsp:rsid wsp:val=&quot;00157332&quot;/&gt;&lt;wsp:rsid wsp:val=&quot;00157DB6&quot;/&gt;&lt;wsp:rsid wsp:val=&quot;001607D7&quot;/&gt;&lt;wsp:rsid wsp:val=&quot;00160B4E&quot;/&gt;&lt;wsp:rsid wsp:val=&quot;00160B64&quot;/&gt;&lt;wsp:rsid wsp:val=&quot;00160C12&quot;/&gt;&lt;wsp:rsid wsp:val=&quot;00161A77&quot;/&gt;&lt;wsp:rsid wsp:val=&quot;0016225D&quot;/&gt;&lt;wsp:rsid wsp:val=&quot;00162840&quot;/&gt;&lt;wsp:rsid wsp:val=&quot;00162EF8&quot;/&gt;&lt;wsp:rsid wsp:val=&quot;00163267&quot;/&gt;&lt;wsp:rsid wsp:val=&quot;00163FEB&quot;/&gt;&lt;wsp:rsid wsp:val=&quot;001640BF&quot;/&gt;&lt;wsp:rsid wsp:val=&quot;0016410F&quot;/&gt;&lt;wsp:rsid wsp:val=&quot;0016460D&quot;/&gt;&lt;wsp:rsid wsp:val=&quot;00164A2D&quot;/&gt;&lt;wsp:rsid wsp:val=&quot;00164C5E&quot;/&gt;&lt;wsp:rsid wsp:val=&quot;00165146&quot;/&gt;&lt;wsp:rsid wsp:val=&quot;00166E97&quot;/&gt;&lt;wsp:rsid wsp:val=&quot;00166F24&quot;/&gt;&lt;wsp:rsid wsp:val=&quot;00167A30&quot;/&gt;&lt;wsp:rsid wsp:val=&quot;00167C7B&quot;/&gt;&lt;wsp:rsid wsp:val=&quot;00167E15&quot;/&gt;&lt;wsp:rsid wsp:val=&quot;00170211&quot;/&gt;&lt;wsp:rsid wsp:val=&quot;00170230&quot;/&gt;&lt;wsp:rsid wsp:val=&quot;00170595&quot;/&gt;&lt;wsp:rsid wsp:val=&quot;00171149&quot;/&gt;&lt;wsp:rsid wsp:val=&quot;001712EF&quot;/&gt;&lt;wsp:rsid wsp:val=&quot;00171970&quot;/&gt;&lt;wsp:rsid wsp:val=&quot;00171F9C&quot;/&gt;&lt;wsp:rsid wsp:val=&quot;00172125&quot;/&gt;&lt;wsp:rsid wsp:val=&quot;00172235&quot;/&gt;&lt;wsp:rsid wsp:val=&quot;00172632&quot;/&gt;&lt;wsp:rsid wsp:val=&quot;00173021&quot;/&gt;&lt;wsp:rsid wsp:val=&quot;00174676&quot;/&gt;&lt;wsp:rsid wsp:val=&quot;00174ACB&quot;/&gt;&lt;wsp:rsid wsp:val=&quot;00175C0C&quot;/&gt;&lt;wsp:rsid wsp:val=&quot;00175D8B&quot;/&gt;&lt;wsp:rsid wsp:val=&quot;0017670E&quot;/&gt;&lt;wsp:rsid wsp:val=&quot;00176765&quot;/&gt;&lt;wsp:rsid wsp:val=&quot;001772D0&quot;/&gt;&lt;wsp:rsid wsp:val=&quot;00177C24&quot;/&gt;&lt;wsp:rsid wsp:val=&quot;00177C4F&quot;/&gt;&lt;wsp:rsid wsp:val=&quot;00177E5C&quot;/&gt;&lt;wsp:rsid wsp:val=&quot;00180353&quot;/&gt;&lt;wsp:rsid wsp:val=&quot;00181305&quot;/&gt;&lt;wsp:rsid wsp:val=&quot;00181435&quot;/&gt;&lt;wsp:rsid wsp:val=&quot;001823A4&quot;/&gt;&lt;wsp:rsid wsp:val=&quot;00182614&quot;/&gt;&lt;wsp:rsid wsp:val=&quot;00183587&quot;/&gt;&lt;wsp:rsid wsp:val=&quot;00184E4F&quot;/&gt;&lt;wsp:rsid wsp:val=&quot;00185B77&quot;/&gt;&lt;wsp:rsid wsp:val=&quot;00186290&quot;/&gt;&lt;wsp:rsid wsp:val=&quot;00186605&quot;/&gt;&lt;wsp:rsid wsp:val=&quot;00186AFE&quot;/&gt;&lt;wsp:rsid wsp:val=&quot;00187401&quot;/&gt;&lt;wsp:rsid wsp:val=&quot;00187822&quot;/&gt;&lt;wsp:rsid wsp:val=&quot;00191487&quot;/&gt;&lt;wsp:rsid wsp:val=&quot;001915F0&quot;/&gt;&lt;wsp:rsid wsp:val=&quot;0019223E&quot;/&gt;&lt;wsp:rsid wsp:val=&quot;0019278B&quot;/&gt;&lt;wsp:rsid wsp:val=&quot;00192ACD&quot;/&gt;&lt;wsp:rsid wsp:val=&quot;00193636&quot;/&gt;&lt;wsp:rsid wsp:val=&quot;00193BA7&quot;/&gt;&lt;wsp:rsid wsp:val=&quot;001942C2&quot;/&gt;&lt;wsp:rsid wsp:val=&quot;0019453D&quot;/&gt;&lt;wsp:rsid wsp:val=&quot;00194FB9&quot;/&gt;&lt;wsp:rsid wsp:val=&quot;00195356&quot;/&gt;&lt;wsp:rsid wsp:val=&quot;0019546E&quot;/&gt;&lt;wsp:rsid wsp:val=&quot;0019632A&quot;/&gt;&lt;wsp:rsid wsp:val=&quot;001977A3&quot;/&gt;&lt;wsp:rsid wsp:val=&quot;00197EA6&quot;/&gt;&lt;wsp:rsid wsp:val=&quot;001A044C&quot;/&gt;&lt;wsp:rsid wsp:val=&quot;001A12AE&quot;/&gt;&lt;wsp:rsid wsp:val=&quot;001A1633&quot;/&gt;&lt;wsp:rsid wsp:val=&quot;001A2DD8&quot;/&gt;&lt;wsp:rsid wsp:val=&quot;001A2E5A&quot;/&gt;&lt;wsp:rsid wsp:val=&quot;001A3D0C&quot;/&gt;&lt;wsp:rsid wsp:val=&quot;001A40C1&quot;/&gt;&lt;wsp:rsid wsp:val=&quot;001A49B4&quot;/&gt;&lt;wsp:rsid wsp:val=&quot;001A4BFA&quot;/&gt;&lt;wsp:rsid wsp:val=&quot;001A5312&quot;/&gt;&lt;wsp:rsid wsp:val=&quot;001A675C&quot;/&gt;&lt;wsp:rsid wsp:val=&quot;001A6956&quot;/&gt;&lt;wsp:rsid wsp:val=&quot;001A7852&quot;/&gt;&lt;wsp:rsid wsp:val=&quot;001A7CB2&quot;/&gt;&lt;wsp:rsid wsp:val=&quot;001B09D1&quot;/&gt;&lt;wsp:rsid wsp:val=&quot;001B20A7&quot;/&gt;&lt;wsp:rsid wsp:val=&quot;001B2916&quot;/&gt;&lt;wsp:rsid wsp:val=&quot;001B4A37&quot;/&gt;&lt;wsp:rsid wsp:val=&quot;001B5489&quot;/&gt;&lt;wsp:rsid wsp:val=&quot;001B5F0A&quot;/&gt;&lt;wsp:rsid wsp:val=&quot;001B6163&quot;/&gt;&lt;wsp:rsid wsp:val=&quot;001B6E49&quot;/&gt;&lt;wsp:rsid wsp:val=&quot;001B71B0&quot;/&gt;&lt;wsp:rsid wsp:val=&quot;001B7664&quot;/&gt;&lt;wsp:rsid wsp:val=&quot;001B7B3B&quot;/&gt;&lt;wsp:rsid wsp:val=&quot;001B7E72&quot;/&gt;&lt;wsp:rsid wsp:val=&quot;001C07E9&quot;/&gt;&lt;wsp:rsid wsp:val=&quot;001C134C&quot;/&gt;&lt;wsp:rsid wsp:val=&quot;001C22D7&quot;/&gt;&lt;wsp:rsid wsp:val=&quot;001C2E99&quot;/&gt;&lt;wsp:rsid wsp:val=&quot;001C3559&quot;/&gt;&lt;wsp:rsid wsp:val=&quot;001C35BF&quot;/&gt;&lt;wsp:rsid wsp:val=&quot;001C5883&quot;/&gt;&lt;wsp:rsid wsp:val=&quot;001C5FF2&quot;/&gt;&lt;wsp:rsid wsp:val=&quot;001C7BE9&quot;/&gt;&lt;wsp:rsid wsp:val=&quot;001D0CA2&quot;/&gt;&lt;wsp:rsid wsp:val=&quot;001D124A&quot;/&gt;&lt;wsp:rsid wsp:val=&quot;001D1BE6&quot;/&gt;&lt;wsp:rsid wsp:val=&quot;001D292D&quot;/&gt;&lt;wsp:rsid wsp:val=&quot;001D2C30&quot;/&gt;&lt;wsp:rsid wsp:val=&quot;001D3327&quot;/&gt;&lt;wsp:rsid wsp:val=&quot;001D3A36&quot;/&gt;&lt;wsp:rsid wsp:val=&quot;001D43BA&quot;/&gt;&lt;wsp:rsid wsp:val=&quot;001D4EBB&quot;/&gt;&lt;wsp:rsid wsp:val=&quot;001D55F9&quot;/&gt;&lt;wsp:rsid wsp:val=&quot;001D65E1&quot;/&gt;&lt;wsp:rsid wsp:val=&quot;001D6BEB&quot;/&gt;&lt;wsp:rsid wsp:val=&quot;001D7AE7&quot;/&gt;&lt;wsp:rsid wsp:val=&quot;001E1A52&quot;/&gt;&lt;wsp:rsid wsp:val=&quot;001E1D62&quot;/&gt;&lt;wsp:rsid wsp:val=&quot;001E2878&quot;/&gt;&lt;wsp:rsid wsp:val=&quot;001E2D13&quot;/&gt;&lt;wsp:rsid wsp:val=&quot;001E2FFE&quot;/&gt;&lt;wsp:rsid wsp:val=&quot;001E317E&quot;/&gt;&lt;wsp:rsid wsp:val=&quot;001E5BF3&quot;/&gt;&lt;wsp:rsid wsp:val=&quot;001E5F84&quot;/&gt;&lt;wsp:rsid wsp:val=&quot;001E5FAB&quot;/&gt;&lt;wsp:rsid wsp:val=&quot;001E6005&quot;/&gt;&lt;wsp:rsid wsp:val=&quot;001E67AE&quot;/&gt;&lt;wsp:rsid wsp:val=&quot;001E6A81&quot;/&gt;&lt;wsp:rsid wsp:val=&quot;001E77AE&quot;/&gt;&lt;wsp:rsid wsp:val=&quot;001F136A&quot;/&gt;&lt;wsp:rsid wsp:val=&quot;001F1557&quot;/&gt;&lt;wsp:rsid wsp:val=&quot;001F22FC&quot;/&gt;&lt;wsp:rsid wsp:val=&quot;001F3203&quot;/&gt;&lt;wsp:rsid wsp:val=&quot;001F4A60&quot;/&gt;&lt;wsp:rsid wsp:val=&quot;001F7451&quot;/&gt;&lt;wsp:rsid wsp:val=&quot;002016B4&quot;/&gt;&lt;wsp:rsid wsp:val=&quot;00201E79&quot;/&gt;&lt;wsp:rsid wsp:val=&quot;00201F3C&quot;/&gt;&lt;wsp:rsid wsp:val=&quot;00202FBF&quot;/&gt;&lt;wsp:rsid wsp:val=&quot;00203B78&quot;/&gt;&lt;wsp:rsid wsp:val=&quot;00203FE2&quot;/&gt;&lt;wsp:rsid wsp:val=&quot;00204921&quot;/&gt;&lt;wsp:rsid wsp:val=&quot;00204EEF&quot;/&gt;&lt;wsp:rsid wsp:val=&quot;00205656&quot;/&gt;&lt;wsp:rsid wsp:val=&quot;00205701&quot;/&gt;&lt;wsp:rsid wsp:val=&quot;00205A39&quot;/&gt;&lt;wsp:rsid wsp:val=&quot;00206086&quot;/&gt;&lt;wsp:rsid wsp:val=&quot;002064D5&quot;/&gt;&lt;wsp:rsid wsp:val=&quot;002069C0&quot;/&gt;&lt;wsp:rsid wsp:val=&quot;002075CC&quot;/&gt;&lt;wsp:rsid wsp:val=&quot;00207B4C&quot;/&gt;&lt;wsp:rsid wsp:val=&quot;00210327&quot;/&gt;&lt;wsp:rsid wsp:val=&quot;00211303&quot;/&gt;&lt;wsp:rsid wsp:val=&quot;002120D1&quot;/&gt;&lt;wsp:rsid wsp:val=&quot;00213167&quot;/&gt;&lt;wsp:rsid wsp:val=&quot;00213297&quot;/&gt;&lt;wsp:rsid wsp:val=&quot;00213559&quot;/&gt;&lt;wsp:rsid wsp:val=&quot;00213630&quot;/&gt;&lt;wsp:rsid wsp:val=&quot;002136FA&quot;/&gt;&lt;wsp:rsid wsp:val=&quot;00213FE1&quot;/&gt;&lt;wsp:rsid wsp:val=&quot;002147D6&quot;/&gt;&lt;wsp:rsid wsp:val=&quot;00214C21&quot;/&gt;&lt;wsp:rsid wsp:val=&quot;002155B1&quot;/&gt;&lt;wsp:rsid wsp:val=&quot;00215710&quot;/&gt;&lt;wsp:rsid wsp:val=&quot;00216F4C&quot;/&gt;&lt;wsp:rsid wsp:val=&quot;00217532&quot;/&gt;&lt;wsp:rsid wsp:val=&quot;00217BCB&quot;/&gt;&lt;wsp:rsid wsp:val=&quot;002205FF&quot;/&gt;&lt;wsp:rsid wsp:val=&quot;00220660&quot;/&gt;&lt;wsp:rsid wsp:val=&quot;002208BF&quot;/&gt;&lt;wsp:rsid wsp:val=&quot;00221387&quot;/&gt;&lt;wsp:rsid wsp:val=&quot;0022145A&quot;/&gt;&lt;wsp:rsid wsp:val=&quot;00223DB1&quot;/&gt;&lt;wsp:rsid wsp:val=&quot;002247E9&quot;/&gt;&lt;wsp:rsid wsp:val=&quot;002250E7&quot;/&gt;&lt;wsp:rsid wsp:val=&quot;002254F3&quot;/&gt;&lt;wsp:rsid wsp:val=&quot;00225E14&quot;/&gt;&lt;wsp:rsid wsp:val=&quot;002262D3&quot;/&gt;&lt;wsp:rsid wsp:val=&quot;00226BB7&quot;/&gt;&lt;wsp:rsid wsp:val=&quot;00226C3F&quot;/&gt;&lt;wsp:rsid wsp:val=&quot;00227BE6&quot;/&gt;&lt;wsp:rsid wsp:val=&quot;00227C67&quot;/&gt;&lt;wsp:rsid wsp:val=&quot;00227FD9&quot;/&gt;&lt;wsp:rsid wsp:val=&quot;00230124&quot;/&gt;&lt;wsp:rsid wsp:val=&quot;00230D37&quot;/&gt;&lt;wsp:rsid wsp:val=&quot;00231375&quot;/&gt;&lt;wsp:rsid wsp:val=&quot;00231FD6&quot;/&gt;&lt;wsp:rsid wsp:val=&quot;00232652&quot;/&gt;&lt;wsp:rsid wsp:val=&quot;00235701&quot;/&gt;&lt;wsp:rsid wsp:val=&quot;00235B29&quot;/&gt;&lt;wsp:rsid wsp:val=&quot;00235E51&quot;/&gt;&lt;wsp:rsid wsp:val=&quot;002360B0&quot;/&gt;&lt;wsp:rsid wsp:val=&quot;002364DC&quot;/&gt;&lt;wsp:rsid wsp:val=&quot;002367CA&quot;/&gt;&lt;wsp:rsid wsp:val=&quot;00236CD1&quot;/&gt;&lt;wsp:rsid wsp:val=&quot;00236EFE&quot;/&gt;&lt;wsp:rsid wsp:val=&quot;00237E89&quot;/&gt;&lt;wsp:rsid wsp:val=&quot;0024047F&quot;/&gt;&lt;wsp:rsid wsp:val=&quot;002404F8&quot;/&gt;&lt;wsp:rsid wsp:val=&quot;0024097F&quot;/&gt;&lt;wsp:rsid wsp:val=&quot;00240A25&quot;/&gt;&lt;wsp:rsid wsp:val=&quot;00240D22&quot;/&gt;&lt;wsp:rsid wsp:val=&quot;002411CD&quot;/&gt;&lt;wsp:rsid wsp:val=&quot;00241C81&quot;/&gt;&lt;wsp:rsid wsp:val=&quot;0024220B&quot;/&gt;&lt;wsp:rsid wsp:val=&quot;002431E0&quot;/&gt;&lt;wsp:rsid wsp:val=&quot;00243B04&quot;/&gt;&lt;wsp:rsid wsp:val=&quot;00243DD4&quot;/&gt;&lt;wsp:rsid wsp:val=&quot;00244EFC&quot;/&gt;&lt;wsp:rsid wsp:val=&quot;002459E0&quot;/&gt;&lt;wsp:rsid wsp:val=&quot;00245BCF&quot;/&gt;&lt;wsp:rsid wsp:val=&quot;00245D2A&quot;/&gt;&lt;wsp:rsid wsp:val=&quot;002460B1&quot;/&gt;&lt;wsp:rsid wsp:val=&quot;002479B9&quot;/&gt;&lt;wsp:rsid wsp:val=&quot;00250301&quot;/&gt;&lt;wsp:rsid wsp:val=&quot;002505DE&quot;/&gt;&lt;wsp:rsid wsp:val=&quot;00250F1C&quot;/&gt;&lt;wsp:rsid wsp:val=&quot;00251009&quot;/&gt;&lt;wsp:rsid wsp:val=&quot;00251CEC&quot;/&gt;&lt;wsp:rsid wsp:val=&quot;002529DD&quot;/&gt;&lt;wsp:rsid wsp:val=&quot;00252B40&quot;/&gt;&lt;wsp:rsid wsp:val=&quot;00254369&quot;/&gt;&lt;wsp:rsid wsp:val=&quot;00254A94&quot;/&gt;&lt;wsp:rsid wsp:val=&quot;002550EA&quot;/&gt;&lt;wsp:rsid wsp:val=&quot;002551B5&quot;/&gt;&lt;wsp:rsid wsp:val=&quot;00255AC4&quot;/&gt;&lt;wsp:rsid wsp:val=&quot;0025728C&quot;/&gt;&lt;wsp:rsid wsp:val=&quot;00260674&quot;/&gt;&lt;wsp:rsid wsp:val=&quot;0026198F&quot;/&gt;&lt;wsp:rsid wsp:val=&quot;0026259D&quot;/&gt;&lt;wsp:rsid wsp:val=&quot;0026362A&quot;/&gt;&lt;wsp:rsid wsp:val=&quot;00264408&quot;/&gt;&lt;wsp:rsid wsp:val=&quot;00264838&quot;/&gt;&lt;wsp:rsid wsp:val=&quot;00264C34&quot;/&gt;&lt;wsp:rsid wsp:val=&quot;0026503E&quot;/&gt;&lt;wsp:rsid wsp:val=&quot;0026564C&quot;/&gt;&lt;wsp:rsid wsp:val=&quot;00265D7A&quot;/&gt;&lt;wsp:rsid wsp:val=&quot;00265E26&quot;/&gt;&lt;wsp:rsid wsp:val=&quot;00266952&quot;/&gt;&lt;wsp:rsid wsp:val=&quot;002669CB&quot;/&gt;&lt;wsp:rsid wsp:val=&quot;00267D7C&quot;/&gt;&lt;wsp:rsid wsp:val=&quot;00267E54&quot;/&gt;&lt;wsp:rsid wsp:val=&quot;00271288&quot;/&gt;&lt;wsp:rsid wsp:val=&quot;00271B26&quot;/&gt;&lt;wsp:rsid wsp:val=&quot;00272277&quot;/&gt;&lt;wsp:rsid wsp:val=&quot;00273364&quot;/&gt;&lt;wsp:rsid wsp:val=&quot;002733CD&quot;/&gt;&lt;wsp:rsid wsp:val=&quot;0027395C&quot;/&gt;&lt;wsp:rsid wsp:val=&quot;00273AA2&quot;/&gt;&lt;wsp:rsid wsp:val=&quot;002758D7&quot;/&gt;&lt;wsp:rsid wsp:val=&quot;0027650D&quot;/&gt;&lt;wsp:rsid wsp:val=&quot;00276903&quot;/&gt;&lt;wsp:rsid wsp:val=&quot;00276BA2&quot;/&gt;&lt;wsp:rsid wsp:val=&quot;002777F6&quot;/&gt;&lt;wsp:rsid wsp:val=&quot;002800C6&quot;/&gt;&lt;wsp:rsid wsp:val=&quot;0028043C&quot;/&gt;&lt;wsp:rsid wsp:val=&quot;002804E0&quot;/&gt;&lt;wsp:rsid wsp:val=&quot;00280AB0&quot;/&gt;&lt;wsp:rsid wsp:val=&quot;00280B29&quot;/&gt;&lt;wsp:rsid wsp:val=&quot;00281281&quot;/&gt;&lt;wsp:rsid wsp:val=&quot;00281688&quot;/&gt;&lt;wsp:rsid wsp:val=&quot;002824A2&quot;/&gt;&lt;wsp:rsid wsp:val=&quot;002824B5&quot;/&gt;&lt;wsp:rsid wsp:val=&quot;0028292D&quot;/&gt;&lt;wsp:rsid wsp:val=&quot;00282ECF&quot;/&gt;&lt;wsp:rsid wsp:val=&quot;00282F01&quot;/&gt;&lt;wsp:rsid wsp:val=&quot;00283C20&quot;/&gt;&lt;wsp:rsid wsp:val=&quot;00284118&quot;/&gt;&lt;wsp:rsid wsp:val=&quot;002855C4&quot;/&gt;&lt;wsp:rsid wsp:val=&quot;00285A21&quot;/&gt;&lt;wsp:rsid wsp:val=&quot;00285FFE&quot;/&gt;&lt;wsp:rsid wsp:val=&quot;002861BA&quot;/&gt;&lt;wsp:rsid wsp:val=&quot;0028641E&quot;/&gt;&lt;wsp:rsid wsp:val=&quot;00286483&quot;/&gt;&lt;wsp:rsid wsp:val=&quot;002869D8&quot;/&gt;&lt;wsp:rsid wsp:val=&quot;00286D61&quot;/&gt;&lt;wsp:rsid wsp:val=&quot;0028746E&quot;/&gt;&lt;wsp:rsid wsp:val=&quot;0029036C&quot;/&gt;&lt;wsp:rsid wsp:val=&quot;00290A58&quot;/&gt;&lt;wsp:rsid wsp:val=&quot;00290B24&quot;/&gt;&lt;wsp:rsid wsp:val=&quot;00290C35&quot;/&gt;&lt;wsp:rsid wsp:val=&quot;00291703&quot;/&gt;&lt;wsp:rsid wsp:val=&quot;00292674&quot;/&gt;&lt;wsp:rsid wsp:val=&quot;002927E8&quot;/&gt;&lt;wsp:rsid wsp:val=&quot;00292B77&quot;/&gt;&lt;wsp:rsid wsp:val=&quot;00295651&quot;/&gt;&lt;wsp:rsid wsp:val=&quot;00295AEC&quot;/&gt;&lt;wsp:rsid wsp:val=&quot;00295F37&quot;/&gt;&lt;wsp:rsid wsp:val=&quot;0029607C&quot;/&gt;&lt;wsp:rsid wsp:val=&quot;00296B71&quot;/&gt;&lt;wsp:rsid wsp:val=&quot;00296DB3&quot;/&gt;&lt;wsp:rsid wsp:val=&quot;002975ED&quot;/&gt;&lt;wsp:rsid wsp:val=&quot;002A0715&quot;/&gt;&lt;wsp:rsid wsp:val=&quot;002A10BD&quot;/&gt;&lt;wsp:rsid wsp:val=&quot;002A1435&quot;/&gt;&lt;wsp:rsid wsp:val=&quot;002A1663&quot;/&gt;&lt;wsp:rsid wsp:val=&quot;002A2230&quot;/&gt;&lt;wsp:rsid wsp:val=&quot;002A2592&quot;/&gt;&lt;wsp:rsid wsp:val=&quot;002A2767&quot;/&gt;&lt;wsp:rsid wsp:val=&quot;002A302A&quot;/&gt;&lt;wsp:rsid wsp:val=&quot;002A37FE&quot;/&gt;&lt;wsp:rsid wsp:val=&quot;002A3F26&quot;/&gt;&lt;wsp:rsid wsp:val=&quot;002A66AB&quot;/&gt;&lt;wsp:rsid wsp:val=&quot;002A7335&quot;/&gt;&lt;wsp:rsid wsp:val=&quot;002A77C1&quot;/&gt;&lt;wsp:rsid wsp:val=&quot;002A79A3&quot;/&gt;&lt;wsp:rsid wsp:val=&quot;002A7A37&quot;/&gt;&lt;wsp:rsid wsp:val=&quot;002B092B&quot;/&gt;&lt;wsp:rsid wsp:val=&quot;002B136A&quot;/&gt;&lt;wsp:rsid wsp:val=&quot;002B1547&quot;/&gt;&lt;wsp:rsid wsp:val=&quot;002B1F53&quot;/&gt;&lt;wsp:rsid wsp:val=&quot;002B20A2&quot;/&gt;&lt;wsp:rsid wsp:val=&quot;002B2BF5&quot;/&gt;&lt;wsp:rsid wsp:val=&quot;002B3C26&quot;/&gt;&lt;wsp:rsid wsp:val=&quot;002B430E&quot;/&gt;&lt;wsp:rsid wsp:val=&quot;002B4424&quot;/&gt;&lt;wsp:rsid wsp:val=&quot;002B5E01&quot;/&gt;&lt;wsp:rsid wsp:val=&quot;002B703F&quot;/&gt;&lt;wsp:rsid wsp:val=&quot;002B718D&quot;/&gt;&lt;wsp:rsid wsp:val=&quot;002B7195&quot;/&gt;&lt;wsp:rsid wsp:val=&quot;002B7A36&quot;/&gt;&lt;wsp:rsid wsp:val=&quot;002C1026&quot;/&gt;&lt;wsp:rsid wsp:val=&quot;002C2767&quot;/&gt;&lt;wsp:rsid wsp:val=&quot;002C3429&quot;/&gt;&lt;wsp:rsid wsp:val=&quot;002C4C62&quot;/&gt;&lt;wsp:rsid wsp:val=&quot;002C4CB7&quot;/&gt;&lt;wsp:rsid wsp:val=&quot;002C551E&quot;/&gt;&lt;wsp:rsid wsp:val=&quot;002C5E0E&quot;/&gt;&lt;wsp:rsid wsp:val=&quot;002C617C&quot;/&gt;&lt;wsp:rsid wsp:val=&quot;002C69EF&quot;/&gt;&lt;wsp:rsid wsp:val=&quot;002C6A32&quot;/&gt;&lt;wsp:rsid wsp:val=&quot;002C6C47&quot;/&gt;&lt;wsp:rsid wsp:val=&quot;002D1CFD&quot;/&gt;&lt;wsp:rsid wsp:val=&quot;002D24FA&quot;/&gt;&lt;wsp:rsid wsp:val=&quot;002D2659&quot;/&gt;&lt;wsp:rsid wsp:val=&quot;002D33BE&quot;/&gt;&lt;wsp:rsid wsp:val=&quot;002D345A&quot;/&gt;&lt;wsp:rsid wsp:val=&quot;002D3635&quot;/&gt;&lt;wsp:rsid wsp:val=&quot;002D4370&quot;/&gt;&lt;wsp:rsid wsp:val=&quot;002D479C&quot;/&gt;&lt;wsp:rsid wsp:val=&quot;002D47D8&quot;/&gt;&lt;wsp:rsid wsp:val=&quot;002D5295&quot;/&gt;&lt;wsp:rsid wsp:val=&quot;002D599D&quot;/&gt;&lt;wsp:rsid wsp:val=&quot;002D72D3&quot;/&gt;&lt;wsp:rsid wsp:val=&quot;002D732F&quot;/&gt;&lt;wsp:rsid wsp:val=&quot;002D7776&quot;/&gt;&lt;wsp:rsid wsp:val=&quot;002D783E&quot;/&gt;&lt;wsp:rsid wsp:val=&quot;002E05C2&quot;/&gt;&lt;wsp:rsid wsp:val=&quot;002E0C7D&quot;/&gt;&lt;wsp:rsid wsp:val=&quot;002E0CE1&quot;/&gt;&lt;wsp:rsid wsp:val=&quot;002E0F7D&quot;/&gt;&lt;wsp:rsid wsp:val=&quot;002E23EA&quot;/&gt;&lt;wsp:rsid wsp:val=&quot;002E263E&quot;/&gt;&lt;wsp:rsid wsp:val=&quot;002E3A6A&quot;/&gt;&lt;wsp:rsid wsp:val=&quot;002E3C99&quot;/&gt;&lt;wsp:rsid wsp:val=&quot;002E3DBB&quot;/&gt;&lt;wsp:rsid wsp:val=&quot;002E52C2&quot;/&gt;&lt;wsp:rsid wsp:val=&quot;002E69F2&quot;/&gt;&lt;wsp:rsid wsp:val=&quot;002E7153&quot;/&gt;&lt;wsp:rsid wsp:val=&quot;002F00DF&quot;/&gt;&lt;wsp:rsid wsp:val=&quot;002F0C16&quot;/&gt;&lt;wsp:rsid wsp:val=&quot;002F0F96&quot;/&gt;&lt;wsp:rsid wsp:val=&quot;002F141E&quot;/&gt;&lt;wsp:rsid wsp:val=&quot;002F180C&quot;/&gt;&lt;wsp:rsid wsp:val=&quot;002F1EDD&quot;/&gt;&lt;wsp:rsid wsp:val=&quot;002F25B4&quot;/&gt;&lt;wsp:rsid wsp:val=&quot;002F3BF6&quot;/&gt;&lt;wsp:rsid wsp:val=&quot;002F3D6B&quot;/&gt;&lt;wsp:rsid wsp:val=&quot;002F41B3&quot;/&gt;&lt;wsp:rsid wsp:val=&quot;002F47DB&quot;/&gt;&lt;wsp:rsid wsp:val=&quot;002F66B7&quot;/&gt;&lt;wsp:rsid wsp:val=&quot;002F6BB0&quot;/&gt;&lt;wsp:rsid wsp:val=&quot;002F6CD9&quot;/&gt;&lt;wsp:rsid wsp:val=&quot;002F7D3B&quot;/&gt;&lt;wsp:rsid wsp:val=&quot;0030003D&quot;/&gt;&lt;wsp:rsid wsp:val=&quot;0030039D&quot;/&gt;&lt;wsp:rsid wsp:val=&quot;0030157F&quot;/&gt;&lt;wsp:rsid wsp:val=&quot;00301D28&quot;/&gt;&lt;wsp:rsid wsp:val=&quot;0030215D&quot;/&gt;&lt;wsp:rsid wsp:val=&quot;0030298D&quot;/&gt;&lt;wsp:rsid wsp:val=&quot;00302D4D&quot;/&gt;&lt;wsp:rsid wsp:val=&quot;00303253&quot;/&gt;&lt;wsp:rsid wsp:val=&quot;00303491&quot;/&gt;&lt;wsp:rsid wsp:val=&quot;00303813&quot;/&gt;&lt;wsp:rsid wsp:val=&quot;00303859&quot;/&gt;&lt;wsp:rsid wsp:val=&quot;003038BE&quot;/&gt;&lt;wsp:rsid wsp:val=&quot;00303B02&quot;/&gt;&lt;wsp:rsid wsp:val=&quot;00303FBF&quot;/&gt;&lt;wsp:rsid wsp:val=&quot;00304212&quot;/&gt;&lt;wsp:rsid wsp:val=&quot;0030448F&quot;/&gt;&lt;wsp:rsid wsp:val=&quot;00306E2B&quot;/&gt;&lt;wsp:rsid wsp:val=&quot;00307386&quot;/&gt;&lt;wsp:rsid wsp:val=&quot;00307750&quot;/&gt;&lt;wsp:rsid wsp:val=&quot;003112BE&quot;/&gt;&lt;wsp:rsid wsp:val=&quot;0031168C&quot;/&gt;&lt;wsp:rsid wsp:val=&quot;00311719&quot;/&gt;&lt;wsp:rsid wsp:val=&quot;003117B9&quot;/&gt;&lt;wsp:rsid wsp:val=&quot;003119F0&quot;/&gt;&lt;wsp:rsid wsp:val=&quot;0031290A&quot;/&gt;&lt;wsp:rsid wsp:val=&quot;00312D6E&quot;/&gt;&lt;wsp:rsid wsp:val=&quot;00313253&quot;/&gt;&lt;wsp:rsid wsp:val=&quot;00313BED&quot;/&gt;&lt;wsp:rsid wsp:val=&quot;0031415F&quot;/&gt;&lt;wsp:rsid wsp:val=&quot;003157C4&quot;/&gt;&lt;wsp:rsid wsp:val=&quot;00316465&quot;/&gt;&lt;wsp:rsid wsp:val=&quot;00316676&quot;/&gt;&lt;wsp:rsid wsp:val=&quot;00316786&quot;/&gt;&lt;wsp:rsid wsp:val=&quot;00316C4E&quot;/&gt;&lt;wsp:rsid wsp:val=&quot;0031731C&quot;/&gt;&lt;wsp:rsid wsp:val=&quot;00317320&quot;/&gt;&lt;wsp:rsid wsp:val=&quot;00317FBC&quot;/&gt;&lt;wsp:rsid wsp:val=&quot;00320197&quot;/&gt;&lt;wsp:rsid wsp:val=&quot;00320907&quot;/&gt;&lt;wsp:rsid wsp:val=&quot;00320E63&quot;/&gt;&lt;wsp:rsid wsp:val=&quot;00321F3C&quot;/&gt;&lt;wsp:rsid wsp:val=&quot;0032226D&quot;/&gt;&lt;wsp:rsid wsp:val=&quot;00322F69&quot;/&gt;&lt;wsp:rsid wsp:val=&quot;003232AD&quot;/&gt;&lt;wsp:rsid wsp:val=&quot;003243D2&quot;/&gt;&lt;wsp:rsid wsp:val=&quot;00324C9E&quot;/&gt;&lt;wsp:rsid wsp:val=&quot;00324EE1&quot;/&gt;&lt;wsp:rsid wsp:val=&quot;00325297&quot;/&gt;&lt;wsp:rsid wsp:val=&quot;00325931&quot;/&gt;&lt;wsp:rsid wsp:val=&quot;0032769B&quot;/&gt;&lt;wsp:rsid wsp:val=&quot;00327B0E&quot;/&gt;&lt;wsp:rsid wsp:val=&quot;0033005E&quot;/&gt;&lt;wsp:rsid wsp:val=&quot;00330DE8&quot;/&gt;&lt;wsp:rsid wsp:val=&quot;00330FD6&quot;/&gt;&lt;wsp:rsid wsp:val=&quot;003311B2&quot;/&gt;&lt;wsp:rsid wsp:val=&quot;00331B43&quot;/&gt;&lt;wsp:rsid wsp:val=&quot;0033347C&quot;/&gt;&lt;wsp:rsid wsp:val=&quot;003334F0&quot;/&gt;&lt;wsp:rsid wsp:val=&quot;00333812&quot;/&gt;&lt;wsp:rsid wsp:val=&quot;003338ED&quot;/&gt;&lt;wsp:rsid wsp:val=&quot;00334124&quot;/&gt;&lt;wsp:rsid wsp:val=&quot;00334E1B&quot;/&gt;&lt;wsp:rsid wsp:val=&quot;00335B7C&quot;/&gt;&lt;wsp:rsid wsp:val=&quot;00336D5F&quot;/&gt;&lt;wsp:rsid wsp:val=&quot;00336EC7&quot;/&gt;&lt;wsp:rsid wsp:val=&quot;00337F97&quot;/&gt;&lt;wsp:rsid wsp:val=&quot;00340EE5&quot;/&gt;&lt;wsp:rsid wsp:val=&quot;003418B2&quot;/&gt;&lt;wsp:rsid wsp:val=&quot;00341CC0&quot;/&gt;&lt;wsp:rsid wsp:val=&quot;00343116&quot;/&gt;&lt;wsp:rsid wsp:val=&quot;00344D0D&quot;/&gt;&lt;wsp:rsid wsp:val=&quot;00345B93&quot;/&gt;&lt;wsp:rsid wsp:val=&quot;003465A3&quot;/&gt;&lt;wsp:rsid wsp:val=&quot;00346E7C&quot;/&gt;&lt;wsp:rsid wsp:val=&quot;00346E91&quot;/&gt;&lt;wsp:rsid wsp:val=&quot;00347279&quot;/&gt;&lt;wsp:rsid wsp:val=&quot;0034794B&quot;/&gt;&lt;wsp:rsid wsp:val=&quot;00347FA4&quot;/&gt;&lt;wsp:rsid wsp:val=&quot;00347FCC&quot;/&gt;&lt;wsp:rsid wsp:val=&quot;00350AA2&quot;/&gt;&lt;wsp:rsid wsp:val=&quot;0035117D&quot;/&gt;&lt;wsp:rsid wsp:val=&quot;00351185&quot;/&gt;&lt;wsp:rsid wsp:val=&quot;003511EA&quot;/&gt;&lt;wsp:rsid wsp:val=&quot;00351364&quot;/&gt;&lt;wsp:rsid wsp:val=&quot;00352392&quot;/&gt;&lt;wsp:rsid wsp:val=&quot;0035255A&quot;/&gt;&lt;wsp:rsid wsp:val=&quot;00352A03&quot;/&gt;&lt;wsp:rsid wsp:val=&quot;00352B62&quot;/&gt;&lt;wsp:rsid wsp:val=&quot;003536E2&quot;/&gt;&lt;wsp:rsid wsp:val=&quot;003538E5&quot;/&gt;&lt;wsp:rsid wsp:val=&quot;00353C92&quot;/&gt;&lt;wsp:rsid wsp:val=&quot;00354216&quot;/&gt;&lt;wsp:rsid wsp:val=&quot;00354E3E&quot;/&gt;&lt;wsp:rsid wsp:val=&quot;00354E71&quot;/&gt;&lt;wsp:rsid wsp:val=&quot;0035523B&quot;/&gt;&lt;wsp:rsid wsp:val=&quot;00355D68&quot;/&gt;&lt;wsp:rsid wsp:val=&quot;003568CB&quot;/&gt;&lt;wsp:rsid wsp:val=&quot;00356BE5&quot;/&gt;&lt;wsp:rsid wsp:val=&quot;003572CA&quot;/&gt;&lt;wsp:rsid wsp:val=&quot;00360895&quot;/&gt;&lt;wsp:rsid wsp:val=&quot;00361134&quot;/&gt;&lt;wsp:rsid wsp:val=&quot;0036184B&quot;/&gt;&lt;wsp:rsid wsp:val=&quot;003620E5&quot;/&gt;&lt;wsp:rsid wsp:val=&quot;003622B9&quot;/&gt;&lt;wsp:rsid wsp:val=&quot;00362676&quot;/&gt;&lt;wsp:rsid wsp:val=&quot;00362B58&quot;/&gt;&lt;wsp:rsid wsp:val=&quot;0036367E&quot;/&gt;&lt;wsp:rsid wsp:val=&quot;00364747&quot;/&gt;&lt;wsp:rsid wsp:val=&quot;003649ED&quot;/&gt;&lt;wsp:rsid wsp:val=&quot;00364A33&quot;/&gt;&lt;wsp:rsid wsp:val=&quot;003659F9&quot;/&gt;&lt;wsp:rsid wsp:val=&quot;00365E38&quot;/&gt;&lt;wsp:rsid wsp:val=&quot;00366294&quot;/&gt;&lt;wsp:rsid wsp:val=&quot;003667DE&quot;/&gt;&lt;wsp:rsid wsp:val=&quot;003676AE&quot;/&gt;&lt;wsp:rsid wsp:val=&quot;00367E31&quot;/&gt;&lt;wsp:rsid wsp:val=&quot;003704CF&quot;/&gt;&lt;wsp:rsid wsp:val=&quot;00371216&quot;/&gt;&lt;wsp:rsid wsp:val=&quot;00371DB5&quot;/&gt;&lt;wsp:rsid wsp:val=&quot;00372FD7&quot;/&gt;&lt;wsp:rsid wsp:val=&quot;00373371&quot;/&gt;&lt;wsp:rsid wsp:val=&quot;003744E3&quot;/&gt;&lt;wsp:rsid wsp:val=&quot;00375692&quot;/&gt;&lt;wsp:rsid wsp:val=&quot;00375CC7&quot;/&gt;&lt;wsp:rsid wsp:val=&quot;00376039&quot;/&gt;&lt;wsp:rsid wsp:val=&quot;00376C0D&quot;/&gt;&lt;wsp:rsid wsp:val=&quot;00376C34&quot;/&gt;&lt;wsp:rsid wsp:val=&quot;003777C3&quot;/&gt;&lt;wsp:rsid wsp:val=&quot;00377A58&quot;/&gt;&lt;wsp:rsid wsp:val=&quot;00377BF7&quot;/&gt;&lt;wsp:rsid wsp:val=&quot;003801D4&quot;/&gt;&lt;wsp:rsid wsp:val=&quot;0038057B&quot;/&gt;&lt;wsp:rsid wsp:val=&quot;00380BAA&quot;/&gt;&lt;wsp:rsid wsp:val=&quot;00380EAB&quot;/&gt;&lt;wsp:rsid wsp:val=&quot;00381B3C&quot;/&gt;&lt;wsp:rsid wsp:val=&quot;00381B5C&quot;/&gt;&lt;wsp:rsid wsp:val=&quot;0038202B&quot;/&gt;&lt;wsp:rsid wsp:val=&quot;00382761&quot;/&gt;&lt;wsp:rsid wsp:val=&quot;00382BDF&quot;/&gt;&lt;wsp:rsid wsp:val=&quot;00383892&quot;/&gt;&lt;wsp:rsid wsp:val=&quot;00383E68&quot;/&gt;&lt;wsp:rsid wsp:val=&quot;00383EE3&quot;/&gt;&lt;wsp:rsid wsp:val=&quot;003847F3&quot;/&gt;&lt;wsp:rsid wsp:val=&quot;00384833&quot;/&gt;&lt;wsp:rsid wsp:val=&quot;00384924&quot;/&gt;&lt;wsp:rsid wsp:val=&quot;00385C47&quot;/&gt;&lt;wsp:rsid wsp:val=&quot;00385D52&quot;/&gt;&lt;wsp:rsid wsp:val=&quot;00385E03&quot;/&gt;&lt;wsp:rsid wsp:val=&quot;003861A2&quot;/&gt;&lt;wsp:rsid wsp:val=&quot;00386752&quot;/&gt;&lt;wsp:rsid wsp:val=&quot;00386EBD&quot;/&gt;&lt;wsp:rsid wsp:val=&quot;00391B91&quot;/&gt;&lt;wsp:rsid wsp:val=&quot;00391D40&quot;/&gt;&lt;wsp:rsid wsp:val=&quot;003920B6&quot;/&gt;&lt;wsp:rsid wsp:val=&quot;003921A5&quot;/&gt;&lt;wsp:rsid wsp:val=&quot;003926BC&quot;/&gt;&lt;wsp:rsid wsp:val=&quot;00392976&quot;/&gt;&lt;wsp:rsid wsp:val=&quot;00392B62&quot;/&gt;&lt;wsp:rsid wsp:val=&quot;00393335&quot;/&gt;&lt;wsp:rsid wsp:val=&quot;003934FC&quot;/&gt;&lt;wsp:rsid wsp:val=&quot;00393971&quot;/&gt;&lt;wsp:rsid wsp:val=&quot;003939E2&quot;/&gt;&lt;wsp:rsid wsp:val=&quot;00393DE0&quot;/&gt;&lt;wsp:rsid wsp:val=&quot;00393EF0&quot;/&gt;&lt;wsp:rsid wsp:val=&quot;0039468E&quot;/&gt;&lt;wsp:rsid wsp:val=&quot;00394C64&quot;/&gt;&lt;wsp:rsid wsp:val=&quot;00394D0F&quot;/&gt;&lt;wsp:rsid wsp:val=&quot;003950C8&quot;/&gt;&lt;wsp:rsid wsp:val=&quot;003967CF&quot;/&gt;&lt;wsp:rsid wsp:val=&quot;0039767E&quot;/&gt;&lt;wsp:rsid wsp:val=&quot;00397AB1&quot;/&gt;&lt;wsp:rsid wsp:val=&quot;003A0554&quot;/&gt;&lt;wsp:rsid wsp:val=&quot;003A0B69&quot;/&gt;&lt;wsp:rsid wsp:val=&quot;003A0C70&quot;/&gt;&lt;wsp:rsid wsp:val=&quot;003A2002&quot;/&gt;&lt;wsp:rsid wsp:val=&quot;003A205A&quot;/&gt;&lt;wsp:rsid wsp:val=&quot;003A26CF&quot;/&gt;&lt;wsp:rsid wsp:val=&quot;003A27CB&quot;/&gt;&lt;wsp:rsid wsp:val=&quot;003A3A83&quot;/&gt;&lt;wsp:rsid wsp:val=&quot;003A3B56&quot;/&gt;&lt;wsp:rsid wsp:val=&quot;003A3F37&quot;/&gt;&lt;wsp:rsid wsp:val=&quot;003A476D&quot;/&gt;&lt;wsp:rsid wsp:val=&quot;003A4FC5&quot;/&gt;&lt;wsp:rsid wsp:val=&quot;003A500C&quot;/&gt;&lt;wsp:rsid wsp:val=&quot;003A5F48&quot;/&gt;&lt;wsp:rsid wsp:val=&quot;003A5FBA&quot;/&gt;&lt;wsp:rsid wsp:val=&quot;003A79D0&quot;/&gt;&lt;wsp:rsid wsp:val=&quot;003B0854&quot;/&gt;&lt;wsp:rsid wsp:val=&quot;003B0BF8&quot;/&gt;&lt;wsp:rsid wsp:val=&quot;003B0F46&quot;/&gt;&lt;wsp:rsid wsp:val=&quot;003B2E90&quot;/&gt;&lt;wsp:rsid wsp:val=&quot;003B3BF6&quot;/&gt;&lt;wsp:rsid wsp:val=&quot;003B3E27&quot;/&gt;&lt;wsp:rsid wsp:val=&quot;003B51C1&quot;/&gt;&lt;wsp:rsid wsp:val=&quot;003B5E95&quot;/&gt;&lt;wsp:rsid wsp:val=&quot;003B6066&quot;/&gt;&lt;wsp:rsid wsp:val=&quot;003B667E&quot;/&gt;&lt;wsp:rsid wsp:val=&quot;003B7692&quot;/&gt;&lt;wsp:rsid wsp:val=&quot;003C063B&quot;/&gt;&lt;wsp:rsid wsp:val=&quot;003C07AE&quot;/&gt;&lt;wsp:rsid wsp:val=&quot;003C18B6&quot;/&gt;&lt;wsp:rsid wsp:val=&quot;003C1971&quot;/&gt;&lt;wsp:rsid wsp:val=&quot;003C26D4&quot;/&gt;&lt;wsp:rsid wsp:val=&quot;003C3168&quot;/&gt;&lt;wsp:rsid wsp:val=&quot;003C3A42&quot;/&gt;&lt;wsp:rsid wsp:val=&quot;003C42D6&quot;/&gt;&lt;wsp:rsid wsp:val=&quot;003C532F&quot;/&gt;&lt;wsp:rsid wsp:val=&quot;003C7462&quot;/&gt;&lt;wsp:rsid wsp:val=&quot;003C7BE6&quot;/&gt;&lt;wsp:rsid wsp:val=&quot;003D0DD7&quot;/&gt;&lt;wsp:rsid wsp:val=&quot;003D14E9&quot;/&gt;&lt;wsp:rsid wsp:val=&quot;003D19CE&quot;/&gt;&lt;wsp:rsid wsp:val=&quot;003D1BAD&quot;/&gt;&lt;wsp:rsid wsp:val=&quot;003D1BD8&quot;/&gt;&lt;wsp:rsid wsp:val=&quot;003D1C29&quot;/&gt;&lt;wsp:rsid wsp:val=&quot;003D26DB&quot;/&gt;&lt;wsp:rsid wsp:val=&quot;003D305E&quot;/&gt;&lt;wsp:rsid wsp:val=&quot;003D3197&quot;/&gt;&lt;wsp:rsid wsp:val=&quot;003D36CA&quot;/&gt;&lt;wsp:rsid wsp:val=&quot;003D39F2&quot;/&gt;&lt;wsp:rsid wsp:val=&quot;003D3CD0&quot;/&gt;&lt;wsp:rsid wsp:val=&quot;003D3EAA&quot;/&gt;&lt;wsp:rsid wsp:val=&quot;003D519F&quot;/&gt;&lt;wsp:rsid wsp:val=&quot;003D526F&quot;/&gt;&lt;wsp:rsid wsp:val=&quot;003D5CB0&quot;/&gt;&lt;wsp:rsid wsp:val=&quot;003D6C14&quot;/&gt;&lt;wsp:rsid wsp:val=&quot;003D72B1&quot;/&gt;&lt;wsp:rsid wsp:val=&quot;003E021E&quot;/&gt;&lt;wsp:rsid wsp:val=&quot;003E0B41&quot;/&gt;&lt;wsp:rsid wsp:val=&quot;003E0E5D&quot;/&gt;&lt;wsp:rsid wsp:val=&quot;003E0E8F&quot;/&gt;&lt;wsp:rsid wsp:val=&quot;003E1AB4&quot;/&gt;&lt;wsp:rsid wsp:val=&quot;003E2948&quot;/&gt;&lt;wsp:rsid wsp:val=&quot;003E2D21&quot;/&gt;&lt;wsp:rsid wsp:val=&quot;003E3056&quot;/&gt;&lt;wsp:rsid wsp:val=&quot;003E3552&quot;/&gt;&lt;wsp:rsid wsp:val=&quot;003E3B68&quot;/&gt;&lt;wsp:rsid wsp:val=&quot;003E48D1&quot;/&gt;&lt;wsp:rsid wsp:val=&quot;003E4DC0&quot;/&gt;&lt;wsp:rsid wsp:val=&quot;003E5008&quot;/&gt;&lt;wsp:rsid wsp:val=&quot;003E55D0&quot;/&gt;&lt;wsp:rsid wsp:val=&quot;003E671A&quot;/&gt;&lt;wsp:rsid wsp:val=&quot;003E7043&quot;/&gt;&lt;wsp:rsid wsp:val=&quot;003E7B7F&quot;/&gt;&lt;wsp:rsid wsp:val=&quot;003F0204&quot;/&gt;&lt;wsp:rsid wsp:val=&quot;003F0309&quot;/&gt;&lt;wsp:rsid wsp:val=&quot;003F13F0&quot;/&gt;&lt;wsp:rsid wsp:val=&quot;003F1D21&quot;/&gt;&lt;wsp:rsid wsp:val=&quot;003F1D63&quot;/&gt;&lt;wsp:rsid wsp:val=&quot;003F388E&quot;/&gt;&lt;wsp:rsid wsp:val=&quot;003F3AF2&quot;/&gt;&lt;wsp:rsid wsp:val=&quot;003F4662&quot;/&gt;&lt;wsp:rsid wsp:val=&quot;003F4D28&quot;/&gt;&lt;wsp:rsid wsp:val=&quot;003F4E20&quot;/&gt;&lt;wsp:rsid wsp:val=&quot;003F5D37&quot;/&gt;&lt;wsp:rsid wsp:val=&quot;003F64DA&quot;/&gt;&lt;wsp:rsid wsp:val=&quot;003F7AA2&quot;/&gt;&lt;wsp:rsid wsp:val=&quot;003F7D2C&quot;/&gt;&lt;wsp:rsid wsp:val=&quot;00400404&quot;/&gt;&lt;wsp:rsid wsp:val=&quot;004012FF&quot;/&gt;&lt;wsp:rsid wsp:val=&quot;00401481&quot;/&gt;&lt;wsp:rsid wsp:val=&quot;004027FA&quot;/&gt;&lt;wsp:rsid wsp:val=&quot;00402C66&quot;/&gt;&lt;wsp:rsid wsp:val=&quot;00403686&quot;/&gt;&lt;wsp:rsid wsp:val=&quot;00403CAA&quot;/&gt;&lt;wsp:rsid wsp:val=&quot;00404B7E&quot;/&gt;&lt;wsp:rsid wsp:val=&quot;00405233&quot;/&gt;&lt;wsp:rsid wsp:val=&quot;00405A03&quot;/&gt;&lt;wsp:rsid wsp:val=&quot;00405CB8&quot;/&gt;&lt;wsp:rsid wsp:val=&quot;0040641A&quot;/&gt;&lt;wsp:rsid wsp:val=&quot;004072CB&quot;/&gt;&lt;wsp:rsid wsp:val=&quot;0040745E&quot;/&gt;&lt;wsp:rsid wsp:val=&quot;00407C06&quot;/&gt;&lt;wsp:rsid wsp:val=&quot;0041007A&quot;/&gt;&lt;wsp:rsid wsp:val=&quot;00410B0A&quot;/&gt;&lt;wsp:rsid wsp:val=&quot;00410D07&quot;/&gt;&lt;wsp:rsid wsp:val=&quot;004111D7&quot;/&gt;&lt;wsp:rsid wsp:val=&quot;00411421&quot;/&gt;&lt;wsp:rsid wsp:val=&quot;0041143B&quot;/&gt;&lt;wsp:rsid wsp:val=&quot;00411A8A&quot;/&gt;&lt;wsp:rsid wsp:val=&quot;00411F22&quot;/&gt;&lt;wsp:rsid wsp:val=&quot;004124BF&quot;/&gt;&lt;wsp:rsid wsp:val=&quot;00412611&quot;/&gt;&lt;wsp:rsid wsp:val=&quot;00412FF9&quot;/&gt;&lt;wsp:rsid wsp:val=&quot;004133EE&quot;/&gt;&lt;wsp:rsid wsp:val=&quot;00413A21&quot;/&gt;&lt;wsp:rsid wsp:val=&quot;00414937&quot;/&gt;&lt;wsp:rsid wsp:val=&quot;00414E87&quot;/&gt;&lt;wsp:rsid wsp:val=&quot;0041502A&quot;/&gt;&lt;wsp:rsid wsp:val=&quot;00415610&quot;/&gt;&lt;wsp:rsid wsp:val=&quot;004160BB&quot;/&gt;&lt;wsp:rsid wsp:val=&quot;004167E0&quot;/&gt;&lt;wsp:rsid wsp:val=&quot;00417120&quot;/&gt;&lt;wsp:rsid wsp:val=&quot;00420686&quot;/&gt;&lt;wsp:rsid wsp:val=&quot;00420C9B&quot;/&gt;&lt;wsp:rsid wsp:val=&quot;00420EFE&quot;/&gt;&lt;wsp:rsid wsp:val=&quot;00421B27&quot;/&gt;&lt;wsp:rsid wsp:val=&quot;0042347B&quot;/&gt;&lt;wsp:rsid wsp:val=&quot;004243C3&quot;/&gt;&lt;wsp:rsid wsp:val=&quot;00424608&quot;/&gt;&lt;wsp:rsid wsp:val=&quot;00425007&quot;/&gt;&lt;wsp:rsid wsp:val=&quot;004256BE&quot;/&gt;&lt;wsp:rsid wsp:val=&quot;004257F3&quot;/&gt;&lt;wsp:rsid wsp:val=&quot;00426B8A&quot;/&gt;&lt;wsp:rsid wsp:val=&quot;00426D0B&quot;/&gt;&lt;wsp:rsid wsp:val=&quot;0042751C&quot;/&gt;&lt;wsp:rsid wsp:val=&quot;00427AC4&quot;/&gt;&lt;wsp:rsid wsp:val=&quot;004305CB&quot;/&gt;&lt;wsp:rsid wsp:val=&quot;004313CA&quot;/&gt;&lt;wsp:rsid wsp:val=&quot;00432386&quot;/&gt;&lt;wsp:rsid wsp:val=&quot;00432D72&quot;/&gt;&lt;wsp:rsid wsp:val=&quot;004331B6&quot;/&gt;&lt;wsp:rsid wsp:val=&quot;004346BD&quot;/&gt;&lt;wsp:rsid wsp:val=&quot;00435001&quot;/&gt;&lt;wsp:rsid wsp:val=&quot;0043611E&quot;/&gt;&lt;wsp:rsid wsp:val=&quot;0043619A&quot;/&gt;&lt;wsp:rsid wsp:val=&quot;004364D5&quot;/&gt;&lt;wsp:rsid wsp:val=&quot;00437354&quot;/&gt;&lt;wsp:rsid wsp:val=&quot;004379D5&quot;/&gt;&lt;wsp:rsid wsp:val=&quot;00440009&quot;/&gt;&lt;wsp:rsid wsp:val=&quot;00441B30&quot;/&gt;&lt;wsp:rsid wsp:val=&quot;00441FED&quot;/&gt;&lt;wsp:rsid wsp:val=&quot;00442034&quot;/&gt;&lt;wsp:rsid wsp:val=&quot;00442460&quot;/&gt;&lt;wsp:rsid wsp:val=&quot;00442542&quot;/&gt;&lt;wsp:rsid wsp:val=&quot;00443F2C&quot;/&gt;&lt;wsp:rsid wsp:val=&quot;00444B56&quot;/&gt;&lt;wsp:rsid wsp:val=&quot;00445007&quot;/&gt;&lt;wsp:rsid wsp:val=&quot;004463EA&quot;/&gt;&lt;wsp:rsid wsp:val=&quot;00446EFB&quot;/&gt;&lt;wsp:rsid wsp:val=&quot;00447E0D&quot;/&gt;&lt;wsp:rsid wsp:val=&quot;004504CD&quot;/&gt;&lt;wsp:rsid wsp:val=&quot;00450801&quot;/&gt;&lt;wsp:rsid wsp:val=&quot;00451316&quot;/&gt;&lt;wsp:rsid wsp:val=&quot;00451711&quot;/&gt;&lt;wsp:rsid wsp:val=&quot;00451BBC&quot;/&gt;&lt;wsp:rsid wsp:val=&quot;00452D88&quot;/&gt;&lt;wsp:rsid wsp:val=&quot;004536B6&quot;/&gt;&lt;wsp:rsid wsp:val=&quot;00453899&quot;/&gt;&lt;wsp:rsid wsp:val=&quot;00453E9C&quot;/&gt;&lt;wsp:rsid wsp:val=&quot;0045437D&quot;/&gt;&lt;wsp:rsid wsp:val=&quot;0045450D&quot;/&gt;&lt;wsp:rsid wsp:val=&quot;0045507E&quot;/&gt;&lt;wsp:rsid wsp:val=&quot;00455233&quot;/&gt;&lt;wsp:rsid wsp:val=&quot;004556CC&quot;/&gt;&lt;wsp:rsid wsp:val=&quot;00456EE3&quot;/&gt;&lt;wsp:rsid wsp:val=&quot;0045701C&quot;/&gt;&lt;wsp:rsid wsp:val=&quot;00460C00&quot;/&gt;&lt;wsp:rsid wsp:val=&quot;00460CF7&quot;/&gt;&lt;wsp:rsid wsp:val=&quot;00460D59&quot;/&gt;&lt;wsp:rsid wsp:val=&quot;004613FC&quot;/&gt;&lt;wsp:rsid wsp:val=&quot;00461A2B&quot;/&gt;&lt;wsp:rsid wsp:val=&quot;00461A44&quot;/&gt;&lt;wsp:rsid wsp:val=&quot;004621AC&quot;/&gt;&lt;wsp:rsid wsp:val=&quot;00462666&quot;/&gt;&lt;wsp:rsid wsp:val=&quot;00462B7F&quot;/&gt;&lt;wsp:rsid wsp:val=&quot;004631B0&quot;/&gt;&lt;wsp:rsid wsp:val=&quot;00466A46&quot;/&gt;&lt;wsp:rsid wsp:val=&quot;00466B2D&quot;/&gt;&lt;wsp:rsid wsp:val=&quot;00466F17&quot;/&gt;&lt;wsp:rsid wsp:val=&quot;004673D1&quot;/&gt;&lt;wsp:rsid wsp:val=&quot;00467973&quot;/&gt;&lt;wsp:rsid wsp:val=&quot;004703F3&quot;/&gt;&lt;wsp:rsid wsp:val=&quot;004727D9&quot;/&gt;&lt;wsp:rsid wsp:val=&quot;00473816&quot;/&gt;&lt;wsp:rsid wsp:val=&quot;00474A34&quot;/&gt;&lt;wsp:rsid wsp:val=&quot;00474BDD&quot;/&gt;&lt;wsp:rsid wsp:val=&quot;00474E48&quot;/&gt;&lt;wsp:rsid wsp:val=&quot;00475D30&quot;/&gt;&lt;wsp:rsid wsp:val=&quot;004770CF&quot;/&gt;&lt;wsp:rsid wsp:val=&quot;00480156&quot;/&gt;&lt;wsp:rsid wsp:val=&quot;00481396&quot;/&gt;&lt;wsp:rsid wsp:val=&quot;0048140F&quot;/&gt;&lt;wsp:rsid wsp:val=&quot;004816A5&quot;/&gt;&lt;wsp:rsid wsp:val=&quot;00481A91&quot;/&gt;&lt;wsp:rsid wsp:val=&quot;004822EF&quot;/&gt;&lt;wsp:rsid wsp:val=&quot;00482D5D&quot;/&gt;&lt;wsp:rsid wsp:val=&quot;004837E6&quot;/&gt;&lt;wsp:rsid wsp:val=&quot;00484094&quot;/&gt;&lt;wsp:rsid wsp:val=&quot;0048443B&quot;/&gt;&lt;wsp:rsid wsp:val=&quot;004855FE&quot;/&gt;&lt;wsp:rsid wsp:val=&quot;00487D2D&quot;/&gt;&lt;wsp:rsid wsp:val=&quot;00490766&quot;/&gt;&lt;wsp:rsid wsp:val=&quot;00490EB4&quot;/&gt;&lt;wsp:rsid wsp:val=&quot;00491714&quot;/&gt;&lt;wsp:rsid wsp:val=&quot;00491DF7&quot;/&gt;&lt;wsp:rsid wsp:val=&quot;00492838&quot;/&gt;&lt;wsp:rsid wsp:val=&quot;004938C1&quot;/&gt;&lt;wsp:rsid wsp:val=&quot;004940B3&quot;/&gt;&lt;wsp:rsid wsp:val=&quot;00494E00&quot;/&gt;&lt;wsp:rsid wsp:val=&quot;00494FD1&quot;/&gt;&lt;wsp:rsid wsp:val=&quot;00495BF7&quot;/&gt;&lt;wsp:rsid wsp:val=&quot;00495E77&quot;/&gt;&lt;wsp:rsid wsp:val=&quot;00496D64&quot;/&gt;&lt;wsp:rsid wsp:val=&quot;00497358&quot;/&gt;&lt;wsp:rsid wsp:val=&quot;00497E3B&quot;/&gt;&lt;wsp:rsid wsp:val=&quot;004A0358&quot;/&gt;&lt;wsp:rsid wsp:val=&quot;004A043F&quot;/&gt;&lt;wsp:rsid wsp:val=&quot;004A0742&quot;/&gt;&lt;wsp:rsid wsp:val=&quot;004A1EFE&quot;/&gt;&lt;wsp:rsid wsp:val=&quot;004A3550&quot;/&gt;&lt;wsp:rsid wsp:val=&quot;004A3D64&quot;/&gt;&lt;wsp:rsid wsp:val=&quot;004A4479&quot;/&gt;&lt;wsp:rsid wsp:val=&quot;004A45C2&quot;/&gt;&lt;wsp:rsid wsp:val=&quot;004A49E8&quot;/&gt;&lt;wsp:rsid wsp:val=&quot;004A4BB4&quot;/&gt;&lt;wsp:rsid wsp:val=&quot;004A4DB0&quot;/&gt;&lt;wsp:rsid wsp:val=&quot;004A4E31&quot;/&gt;&lt;wsp:rsid wsp:val=&quot;004A5E9B&quot;/&gt;&lt;wsp:rsid wsp:val=&quot;004A6958&quot;/&gt;&lt;wsp:rsid wsp:val=&quot;004A7536&quot;/&gt;&lt;wsp:rsid wsp:val=&quot;004A7B02&quot;/&gt;&lt;wsp:rsid wsp:val=&quot;004A7F70&quot;/&gt;&lt;wsp:rsid wsp:val=&quot;004B00D5&quot;/&gt;&lt;wsp:rsid wsp:val=&quot;004B01D4&quot;/&gt;&lt;wsp:rsid wsp:val=&quot;004B0575&quot;/&gt;&lt;wsp:rsid wsp:val=&quot;004B0638&quot;/&gt;&lt;wsp:rsid wsp:val=&quot;004B0A9F&quot;/&gt;&lt;wsp:rsid wsp:val=&quot;004B145E&quot;/&gt;&lt;wsp:rsid wsp:val=&quot;004B1E5F&quot;/&gt;&lt;wsp:rsid wsp:val=&quot;004B246B&quot;/&gt;&lt;wsp:rsid wsp:val=&quot;004B2580&quot;/&gt;&lt;wsp:rsid wsp:val=&quot;004B2798&quot;/&gt;&lt;wsp:rsid wsp:val=&quot;004B2AE3&quot;/&gt;&lt;wsp:rsid wsp:val=&quot;004B2BD7&quot;/&gt;&lt;wsp:rsid wsp:val=&quot;004B2D2A&quot;/&gt;&lt;wsp:rsid wsp:val=&quot;004B37F0&quot;/&gt;&lt;wsp:rsid wsp:val=&quot;004B3C05&quot;/&gt;&lt;wsp:rsid wsp:val=&quot;004B41AE&quot;/&gt;&lt;wsp:rsid wsp:val=&quot;004B4DA5&quot;/&gt;&lt;wsp:rsid wsp:val=&quot;004B50DA&quot;/&gt;&lt;wsp:rsid wsp:val=&quot;004B5E2D&quot;/&gt;&lt;wsp:rsid wsp:val=&quot;004B7141&quot;/&gt;&lt;wsp:rsid wsp:val=&quot;004B71E5&quot;/&gt;&lt;wsp:rsid wsp:val=&quot;004B75A7&quot;/&gt;&lt;wsp:rsid wsp:val=&quot;004B7A6D&quot;/&gt;&lt;wsp:rsid wsp:val=&quot;004B7DC9&quot;/&gt;&lt;wsp:rsid wsp:val=&quot;004B7FBC&quot;/&gt;&lt;wsp:rsid wsp:val=&quot;004C0B30&quot;/&gt;&lt;wsp:rsid wsp:val=&quot;004C16A6&quot;/&gt;&lt;wsp:rsid wsp:val=&quot;004C2853&quot;/&gt;&lt;wsp:rsid wsp:val=&quot;004C2AC8&quot;/&gt;&lt;wsp:rsid wsp:val=&quot;004C2ECC&quot;/&gt;&lt;wsp:rsid wsp:val=&quot;004C30A8&quot;/&gt;&lt;wsp:rsid wsp:val=&quot;004C40CA&quot;/&gt;&lt;wsp:rsid wsp:val=&quot;004C41E3&quot;/&gt;&lt;wsp:rsid wsp:val=&quot;004C47C1&quot;/&gt;&lt;wsp:rsid wsp:val=&quot;004C61B1&quot;/&gt;&lt;wsp:rsid wsp:val=&quot;004C6856&quot;/&gt;&lt;wsp:rsid wsp:val=&quot;004C6D76&quot;/&gt;&lt;wsp:rsid wsp:val=&quot;004C70E0&quot;/&gt;&lt;wsp:rsid wsp:val=&quot;004C797A&quot;/&gt;&lt;wsp:rsid wsp:val=&quot;004D1202&quot;/&gt;&lt;wsp:rsid wsp:val=&quot;004D198A&quot;/&gt;&lt;wsp:rsid wsp:val=&quot;004D22F4&quot;/&gt;&lt;wsp:rsid wsp:val=&quot;004D4466&quot;/&gt;&lt;wsp:rsid wsp:val=&quot;004D5765&quot;/&gt;&lt;wsp:rsid wsp:val=&quot;004D588F&quot;/&gt;&lt;wsp:rsid wsp:val=&quot;004D6D21&quot;/&gt;&lt;wsp:rsid wsp:val=&quot;004D7C72&quot;/&gt;&lt;wsp:rsid wsp:val=&quot;004E016C&quot;/&gt;&lt;wsp:rsid wsp:val=&quot;004E0815&quot;/&gt;&lt;wsp:rsid wsp:val=&quot;004E180C&quot;/&gt;&lt;wsp:rsid wsp:val=&quot;004E318D&quot;/&gt;&lt;wsp:rsid wsp:val=&quot;004E3E7D&quot;/&gt;&lt;wsp:rsid wsp:val=&quot;004E517F&quot;/&gt;&lt;wsp:rsid wsp:val=&quot;004E5239&quot;/&gt;&lt;wsp:rsid wsp:val=&quot;004E5776&quot;/&gt;&lt;wsp:rsid wsp:val=&quot;004E5B2B&quot;/&gt;&lt;wsp:rsid wsp:val=&quot;004E5CDD&quot;/&gt;&lt;wsp:rsid wsp:val=&quot;004E5DC4&quot;/&gt;&lt;wsp:rsid wsp:val=&quot;004E5ED8&quot;/&gt;&lt;wsp:rsid wsp:val=&quot;004E5F51&quot;/&gt;&lt;wsp:rsid wsp:val=&quot;004E656B&quot;/&gt;&lt;wsp:rsid wsp:val=&quot;004E71EA&quot;/&gt;&lt;wsp:rsid wsp:val=&quot;004E76AD&quot;/&gt;&lt;wsp:rsid wsp:val=&quot;004E7D96&quot;/&gt;&lt;wsp:rsid wsp:val=&quot;004F17D2&quot;/&gt;&lt;wsp:rsid wsp:val=&quot;004F347D&quot;/&gt;&lt;wsp:rsid wsp:val=&quot;004F3A3F&quot;/&gt;&lt;wsp:rsid wsp:val=&quot;004F3C7A&quot;/&gt;&lt;wsp:rsid wsp:val=&quot;004F3F61&quot;/&gt;&lt;wsp:rsid wsp:val=&quot;004F4A00&quot;/&gt;&lt;wsp:rsid wsp:val=&quot;004F5097&quot;/&gt;&lt;wsp:rsid wsp:val=&quot;004F5596&quot;/&gt;&lt;wsp:rsid wsp:val=&quot;004F5B4C&quot;/&gt;&lt;wsp:rsid wsp:val=&quot;004F5D90&quot;/&gt;&lt;wsp:rsid wsp:val=&quot;004F61CB&quot;/&gt;&lt;wsp:rsid wsp:val=&quot;004F6684&quot;/&gt;&lt;wsp:rsid wsp:val=&quot;004F6C66&quot;/&gt;&lt;wsp:rsid wsp:val=&quot;004F7851&quot;/&gt;&lt;wsp:rsid wsp:val=&quot;004F7EC3&quot;/&gt;&lt;wsp:rsid wsp:val=&quot;005011DA&quot;/&gt;&lt;wsp:rsid wsp:val=&quot;00501275&quot;/&gt;&lt;wsp:rsid wsp:val=&quot;00501297&quot;/&gt;&lt;wsp:rsid wsp:val=&quot;005015A7&quot;/&gt;&lt;wsp:rsid wsp:val=&quot;005019AE&quot;/&gt;&lt;wsp:rsid wsp:val=&quot;0050246A&quot;/&gt;&lt;wsp:rsid wsp:val=&quot;00502BBE&quot;/&gt;&lt;wsp:rsid wsp:val=&quot;00503121&quot;/&gt;&lt;wsp:rsid wsp:val=&quot;005031C0&quot;/&gt;&lt;wsp:rsid wsp:val=&quot;005035FD&quot;/&gt;&lt;wsp:rsid wsp:val=&quot;00503760&quot;/&gt;&lt;wsp:rsid wsp:val=&quot;005048A8&quot;/&gt;&lt;wsp:rsid wsp:val=&quot;00505573&quot;/&gt;&lt;wsp:rsid wsp:val=&quot;005055D0&quot;/&gt;&lt;wsp:rsid wsp:val=&quot;00505C7A&quot;/&gt;&lt;wsp:rsid wsp:val=&quot;00510E62&quot;/&gt;&lt;wsp:rsid wsp:val=&quot;00511C7E&quot;/&gt;&lt;wsp:rsid wsp:val=&quot;005133A8&quot;/&gt;&lt;wsp:rsid wsp:val=&quot;00513932&quot;/&gt;&lt;wsp:rsid wsp:val=&quot;0051413A&quot;/&gt;&lt;wsp:rsid wsp:val=&quot;0051488A&quot;/&gt;&lt;wsp:rsid wsp:val=&quot;0051499A&quot;/&gt;&lt;wsp:rsid wsp:val=&quot;00514BD0&quot;/&gt;&lt;wsp:rsid wsp:val=&quot;00514EE4&quot;/&gt;&lt;wsp:rsid wsp:val=&quot;0051514F&quot;/&gt;&lt;wsp:rsid wsp:val=&quot;00515BE4&quot;/&gt;&lt;wsp:rsid wsp:val=&quot;0051636E&quot;/&gt;&lt;wsp:rsid wsp:val=&quot;00517581&quot;/&gt;&lt;wsp:rsid wsp:val=&quot;005178C7&quot;/&gt;&lt;wsp:rsid wsp:val=&quot;00517D74&quot;/&gt;&lt;wsp:rsid wsp:val=&quot;005209C6&quot;/&gt;&lt;wsp:rsid wsp:val=&quot;00520B3A&quot;/&gt;&lt;wsp:rsid wsp:val=&quot;005233B9&quot;/&gt;&lt;wsp:rsid wsp:val=&quot;0052361A&quot;/&gt;&lt;wsp:rsid wsp:val=&quot;00523824&quot;/&gt;&lt;wsp:rsid wsp:val=&quot;00523F16&quot;/&gt;&lt;wsp:rsid wsp:val=&quot;00524CD6&quot;/&gt;&lt;wsp:rsid wsp:val=&quot;00525930&quot;/&gt;&lt;wsp:rsid wsp:val=&quot;00525C2B&quot;/&gt;&lt;wsp:rsid wsp:val=&quot;00525CE5&quot;/&gt;&lt;wsp:rsid wsp:val=&quot;00525F91&quot;/&gt;&lt;wsp:rsid wsp:val=&quot;00527A9A&quot;/&gt;&lt;wsp:rsid wsp:val=&quot;0053143E&quot;/&gt;&lt;wsp:rsid wsp:val=&quot;00531DBA&quot;/&gt;&lt;wsp:rsid wsp:val=&quot;00532687&quot;/&gt;&lt;wsp:rsid wsp:val=&quot;005339C7&quot;/&gt;&lt;wsp:rsid wsp:val=&quot;005351DA&quot;/&gt;&lt;wsp:rsid wsp:val=&quot;00535DB3&quot;/&gt;&lt;wsp:rsid wsp:val=&quot;00537599&quot;/&gt;&lt;wsp:rsid wsp:val=&quot;0053793B&quot;/&gt;&lt;wsp:rsid wsp:val=&quot;00537988&quot;/&gt;&lt;wsp:rsid wsp:val=&quot;005408AF&quot;/&gt;&lt;wsp:rsid wsp:val=&quot;00540EBC&quot;/&gt;&lt;wsp:rsid wsp:val=&quot;00540F47&quot;/&gt;&lt;wsp:rsid wsp:val=&quot;005413FD&quot;/&gt;&lt;wsp:rsid wsp:val=&quot;00541408&quot;/&gt;&lt;wsp:rsid wsp:val=&quot;00542104&quot;/&gt;&lt;wsp:rsid wsp:val=&quot;005436CB&quot;/&gt;&lt;wsp:rsid wsp:val=&quot;00546EDC&quot;/&gt;&lt;wsp:rsid wsp:val=&quot;00547224&quot;/&gt;&lt;wsp:rsid wsp:val=&quot;005510C1&quot;/&gt;&lt;wsp:rsid wsp:val=&quot;00551849&quot;/&gt;&lt;wsp:rsid wsp:val=&quot;005523A7&quot;/&gt;&lt;wsp:rsid wsp:val=&quot;0055252D&quot;/&gt;&lt;wsp:rsid wsp:val=&quot;00552EF9&quot;/&gt;&lt;wsp:rsid wsp:val=&quot;005537D4&quot;/&gt;&lt;wsp:rsid wsp:val=&quot;005537ED&quot;/&gt;&lt;wsp:rsid wsp:val=&quot;00554F01&quot;/&gt;&lt;wsp:rsid wsp:val=&quot;00555A9A&quot;/&gt;&lt;wsp:rsid wsp:val=&quot;00555AD9&quot;/&gt;&lt;wsp:rsid wsp:val=&quot;00555E61&quot;/&gt;&lt;wsp:rsid wsp:val=&quot;0055631D&quot;/&gt;&lt;wsp:rsid wsp:val=&quot;00556F37&quot;/&gt;&lt;wsp:rsid wsp:val=&quot;00561665&quot;/&gt;&lt;wsp:rsid wsp:val=&quot;005634A5&quot;/&gt;&lt;wsp:rsid wsp:val=&quot;005635C1&quot;/&gt;&lt;wsp:rsid wsp:val=&quot;005646FF&quot;/&gt;&lt;wsp:rsid wsp:val=&quot;00565858&quot;/&gt;&lt;wsp:rsid wsp:val=&quot;00565C7E&quot;/&gt;&lt;wsp:rsid wsp:val=&quot;00565F1B&quot;/&gt;&lt;wsp:rsid wsp:val=&quot;00566B46&quot;/&gt;&lt;wsp:rsid wsp:val=&quot;0056787D&quot;/&gt;&lt;wsp:rsid wsp:val=&quot;00567E09&quot;/&gt;&lt;wsp:rsid wsp:val=&quot;00567F9E&quot;/&gt;&lt;wsp:rsid wsp:val=&quot;00570635&quot;/&gt;&lt;wsp:rsid wsp:val=&quot;005713C6&quot;/&gt;&lt;wsp:rsid wsp:val=&quot;005719B1&quot;/&gt;&lt;wsp:rsid wsp:val=&quot;005720F8&quot;/&gt;&lt;wsp:rsid wsp:val=&quot;00572422&quot;/&gt;&lt;wsp:rsid wsp:val=&quot;00573363&quot;/&gt;&lt;wsp:rsid wsp:val=&quot;005736CE&quot;/&gt;&lt;wsp:rsid wsp:val=&quot;005745B0&quot;/&gt;&lt;wsp:rsid wsp:val=&quot;00574C4E&quot;/&gt;&lt;wsp:rsid wsp:val=&quot;005752DB&quot;/&gt;&lt;wsp:rsid wsp:val=&quot;00577402&quot;/&gt;&lt;wsp:rsid wsp:val=&quot;00577DB9&quot;/&gt;&lt;wsp:rsid wsp:val=&quot;00581DE0&quot;/&gt;&lt;wsp:rsid wsp:val=&quot;00582626&quot;/&gt;&lt;wsp:rsid wsp:val=&quot;00582E5C&quot;/&gt;&lt;wsp:rsid wsp:val=&quot;0058305D&quot;/&gt;&lt;wsp:rsid wsp:val=&quot;005836E7&quot;/&gt;&lt;wsp:rsid wsp:val=&quot;0058436F&quot;/&gt;&lt;wsp:rsid wsp:val=&quot;00584A9B&quot;/&gt;&lt;wsp:rsid wsp:val=&quot;0058576F&quot;/&gt;&lt;wsp:rsid wsp:val=&quot;00585C24&quot;/&gt;&lt;wsp:rsid wsp:val=&quot;005861E2&quot;/&gt;&lt;wsp:rsid wsp:val=&quot;00586981&quot;/&gt;&lt;wsp:rsid wsp:val=&quot;00586A5A&quot;/&gt;&lt;wsp:rsid wsp:val=&quot;00586CC8&quot;/&gt;&lt;wsp:rsid wsp:val=&quot;00586E03&quot;/&gt;&lt;wsp:rsid wsp:val=&quot;00587653&quot;/&gt;&lt;wsp:rsid wsp:val=&quot;00587938&quot;/&gt;&lt;wsp:rsid wsp:val=&quot;00590532&quot;/&gt;&lt;wsp:rsid wsp:val=&quot;005908C7&quot;/&gt;&lt;wsp:rsid wsp:val=&quot;005909FC&quot;/&gt;&lt;wsp:rsid wsp:val=&quot;00590F9C&quot;/&gt;&lt;wsp:rsid wsp:val=&quot;00591C1F&quot;/&gt;&lt;wsp:rsid wsp:val=&quot;005924B8&quot;/&gt;&lt;wsp:rsid wsp:val=&quot;00592DB0&quot;/&gt;&lt;wsp:rsid wsp:val=&quot;005933DC&quot;/&gt;&lt;wsp:rsid wsp:val=&quot;00593633&quot;/&gt;&lt;wsp:rsid wsp:val=&quot;005940E2&quot;/&gt;&lt;wsp:rsid wsp:val=&quot;00594C1E&quot;/&gt;&lt;wsp:rsid wsp:val=&quot;00594D8A&quot;/&gt;&lt;wsp:rsid wsp:val=&quot;00594EAA&quot;/&gt;&lt;wsp:rsid wsp:val=&quot;0059714E&quot;/&gt;&lt;wsp:rsid wsp:val=&quot;00597773&quot;/&gt;&lt;wsp:rsid wsp:val=&quot;005A0CAB&quot;/&gt;&lt;wsp:rsid wsp:val=&quot;005A26AC&quot;/&gt;&lt;wsp:rsid wsp:val=&quot;005A274E&quot;/&gt;&lt;wsp:rsid wsp:val=&quot;005A2D8A&quot;/&gt;&lt;wsp:rsid wsp:val=&quot;005A31A4&quot;/&gt;&lt;wsp:rsid wsp:val=&quot;005A3788&quot;/&gt;&lt;wsp:rsid wsp:val=&quot;005A391A&quot;/&gt;&lt;wsp:rsid wsp:val=&quot;005A433F&quot;/&gt;&lt;wsp:rsid wsp:val=&quot;005A46E3&quot;/&gt;&lt;wsp:rsid wsp:val=&quot;005A4B2E&quot;/&gt;&lt;wsp:rsid wsp:val=&quot;005A4CA1&quot;/&gt;&lt;wsp:rsid wsp:val=&quot;005A5B91&quot;/&gt;&lt;wsp:rsid wsp:val=&quot;005A5BD9&quot;/&gt;&lt;wsp:rsid wsp:val=&quot;005A5BE1&quot;/&gt;&lt;wsp:rsid wsp:val=&quot;005A632B&quot;/&gt;&lt;wsp:rsid wsp:val=&quot;005A6856&quot;/&gt;&lt;wsp:rsid wsp:val=&quot;005A6E08&quot;/&gt;&lt;wsp:rsid wsp:val=&quot;005A72FD&quot;/&gt;&lt;wsp:rsid wsp:val=&quot;005A7339&quot;/&gt;&lt;wsp:rsid wsp:val=&quot;005A7C2F&quot;/&gt;&lt;wsp:rsid wsp:val=&quot;005B064B&quot;/&gt;&lt;wsp:rsid wsp:val=&quot;005B0CC7&quot;/&gt;&lt;wsp:rsid wsp:val=&quot;005B1EC5&quot;/&gt;&lt;wsp:rsid wsp:val=&quot;005B2344&quot;/&gt;&lt;wsp:rsid wsp:val=&quot;005B2B41&quot;/&gt;&lt;wsp:rsid wsp:val=&quot;005B2B85&quot;/&gt;&lt;wsp:rsid wsp:val=&quot;005B2BA3&quot;/&gt;&lt;wsp:rsid wsp:val=&quot;005B3999&quot;/&gt;&lt;wsp:rsid wsp:val=&quot;005B3E10&quot;/&gt;&lt;wsp:rsid wsp:val=&quot;005B4D2B&quot;/&gt;&lt;wsp:rsid wsp:val=&quot;005B5645&quot;/&gt;&lt;wsp:rsid wsp:val=&quot;005B5680&quot;/&gt;&lt;wsp:rsid wsp:val=&quot;005B5B0E&quot;/&gt;&lt;wsp:rsid wsp:val=&quot;005B5F9A&quot;/&gt;&lt;wsp:rsid wsp:val=&quot;005B6289&quot;/&gt;&lt;wsp:rsid wsp:val=&quot;005B62F9&quot;/&gt;&lt;wsp:rsid wsp:val=&quot;005B7E99&quot;/&gt;&lt;wsp:rsid wsp:val=&quot;005C0392&quot;/&gt;&lt;wsp:rsid wsp:val=&quot;005C0A59&quot;/&gt;&lt;wsp:rsid wsp:val=&quot;005C0D2A&quot;/&gt;&lt;wsp:rsid wsp:val=&quot;005C101D&quot;/&gt;&lt;wsp:rsid wsp:val=&quot;005C1836&quot;/&gt;&lt;wsp:rsid wsp:val=&quot;005C1C0F&quot;/&gt;&lt;wsp:rsid wsp:val=&quot;005C1EAC&quot;/&gt;&lt;wsp:rsid wsp:val=&quot;005C22DB&quot;/&gt;&lt;wsp:rsid wsp:val=&quot;005C230D&quot;/&gt;&lt;wsp:rsid wsp:val=&quot;005C2987&quot;/&gt;&lt;wsp:rsid wsp:val=&quot;005C3F19&quot;/&gt;&lt;wsp:rsid wsp:val=&quot;005C6530&quot;/&gt;&lt;wsp:rsid wsp:val=&quot;005C65CB&quot;/&gt;&lt;wsp:rsid wsp:val=&quot;005C6B63&quot;/&gt;&lt;wsp:rsid wsp:val=&quot;005C706C&quot;/&gt;&lt;wsp:rsid wsp:val=&quot;005C7183&quot;/&gt;&lt;wsp:rsid wsp:val=&quot;005C731B&quot;/&gt;&lt;wsp:rsid wsp:val=&quot;005C7603&quot;/&gt;&lt;wsp:rsid wsp:val=&quot;005C7C07&quot;/&gt;&lt;wsp:rsid wsp:val=&quot;005C7F12&quot;/&gt;&lt;wsp:rsid wsp:val=&quot;005D089B&quot;/&gt;&lt;wsp:rsid wsp:val=&quot;005D0C8D&quot;/&gt;&lt;wsp:rsid wsp:val=&quot;005D2496&quot;/&gt;&lt;wsp:rsid wsp:val=&quot;005D3693&quot;/&gt;&lt;wsp:rsid wsp:val=&quot;005D37AB&quot;/&gt;&lt;wsp:rsid wsp:val=&quot;005D3F40&quot;/&gt;&lt;wsp:rsid wsp:val=&quot;005D4009&quot;/&gt;&lt;wsp:rsid wsp:val=&quot;005D4388&quot;/&gt;&lt;wsp:rsid wsp:val=&quot;005D4E76&quot;/&gt;&lt;wsp:rsid wsp:val=&quot;005D58A9&quot;/&gt;&lt;wsp:rsid wsp:val=&quot;005D5ECF&quot;/&gt;&lt;wsp:rsid wsp:val=&quot;005D6A52&quot;/&gt;&lt;wsp:rsid wsp:val=&quot;005D7CFE&quot;/&gt;&lt;wsp:rsid wsp:val=&quot;005E02EA&quot;/&gt;&lt;wsp:rsid wsp:val=&quot;005E093D&quot;/&gt;&lt;wsp:rsid wsp:val=&quot;005E0CD4&quot;/&gt;&lt;wsp:rsid wsp:val=&quot;005E1291&quot;/&gt;&lt;wsp:rsid wsp:val=&quot;005E1BFE&quot;/&gt;&lt;wsp:rsid wsp:val=&quot;005E1CB1&quot;/&gt;&lt;wsp:rsid wsp:val=&quot;005E228E&quot;/&gt;&lt;wsp:rsid wsp:val=&quot;005E28DB&quot;/&gt;&lt;wsp:rsid wsp:val=&quot;005E365F&quot;/&gt;&lt;wsp:rsid wsp:val=&quot;005E3C31&quot;/&gt;&lt;wsp:rsid wsp:val=&quot;005E425C&quot;/&gt;&lt;wsp:rsid wsp:val=&quot;005E4DD2&quot;/&gt;&lt;wsp:rsid wsp:val=&quot;005E5961&quot;/&gt;&lt;wsp:rsid wsp:val=&quot;005E5C2C&quot;/&gt;&lt;wsp:rsid wsp:val=&quot;005E6F51&quot;/&gt;&lt;wsp:rsid wsp:val=&quot;005E7AD0&quot;/&gt;&lt;wsp:rsid wsp:val=&quot;005E7F24&quot;/&gt;&lt;wsp:rsid wsp:val=&quot;005F10B4&quot;/&gt;&lt;wsp:rsid wsp:val=&quot;005F1D75&quot;/&gt;&lt;wsp:rsid wsp:val=&quot;005F30B5&quot;/&gt;&lt;wsp:rsid wsp:val=&quot;005F4AD7&quot;/&gt;&lt;wsp:rsid wsp:val=&quot;005F6027&quot;/&gt;&lt;wsp:rsid wsp:val=&quot;005F7040&quot;/&gt;&lt;wsp:rsid wsp:val=&quot;0060042D&quot;/&gt;&lt;wsp:rsid wsp:val=&quot;0060104D&quot;/&gt;&lt;wsp:rsid wsp:val=&quot;006017D9&quot;/&gt;&lt;wsp:rsid wsp:val=&quot;00603630&quot;/&gt;&lt;wsp:rsid wsp:val=&quot;00603710&quot;/&gt;&lt;wsp:rsid wsp:val=&quot;00603D80&quot;/&gt;&lt;wsp:rsid wsp:val=&quot;00604990&quot;/&gt;&lt;wsp:rsid wsp:val=&quot;00604F21&quot;/&gt;&lt;wsp:rsid wsp:val=&quot;00605799&quot;/&gt;&lt;wsp:rsid wsp:val=&quot;00605FDC&quot;/&gt;&lt;wsp:rsid wsp:val=&quot;00606DFB&quot;/&gt;&lt;wsp:rsid wsp:val=&quot;00606F17&quot;/&gt;&lt;wsp:rsid wsp:val=&quot;00607806&quot;/&gt;&lt;wsp:rsid wsp:val=&quot;00607FC3&quot;/&gt;&lt;wsp:rsid wsp:val=&quot;00610A68&quot;/&gt;&lt;wsp:rsid wsp:val=&quot;00611957&quot;/&gt;&lt;wsp:rsid wsp:val=&quot;00611A07&quot;/&gt;&lt;wsp:rsid wsp:val=&quot;0061210C&quot;/&gt;&lt;wsp:rsid wsp:val=&quot;006124D5&quot;/&gt;&lt;wsp:rsid wsp:val=&quot;0061269D&quot;/&gt;&lt;wsp:rsid wsp:val=&quot;00612BE0&quot;/&gt;&lt;wsp:rsid wsp:val=&quot;0061384F&quot;/&gt;&lt;wsp:rsid wsp:val=&quot;006139B9&quot;/&gt;&lt;wsp:rsid wsp:val=&quot;00614D29&quot;/&gt;&lt;wsp:rsid wsp:val=&quot;00615F29&quot;/&gt;&lt;wsp:rsid wsp:val=&quot;00616045&quot;/&gt;&lt;wsp:rsid wsp:val=&quot;006161D0&quot;/&gt;&lt;wsp:rsid wsp:val=&quot;00616BDD&quot;/&gt;&lt;wsp:rsid wsp:val=&quot;006219FE&quot;/&gt;&lt;wsp:rsid wsp:val=&quot;00621A91&quot;/&gt;&lt;wsp:rsid wsp:val=&quot;00622B06&quot;/&gt;&lt;wsp:rsid wsp:val=&quot;00622FCC&quot;/&gt;&lt;wsp:rsid wsp:val=&quot;00623F0C&quot;/&gt;&lt;wsp:rsid wsp:val=&quot;0062448B&quot;/&gt;&lt;wsp:rsid wsp:val=&quot;006244EA&quot;/&gt;&lt;wsp:rsid wsp:val=&quot;0062462A&quot;/&gt;&lt;wsp:rsid wsp:val=&quot;00624ABD&quot;/&gt;&lt;wsp:rsid wsp:val=&quot;00624EA6&quot;/&gt;&lt;wsp:rsid wsp:val=&quot;006257DA&quot;/&gt;&lt;wsp:rsid wsp:val=&quot;00625984&quot;/&gt;&lt;wsp:rsid wsp:val=&quot;00627914&quot;/&gt;&lt;wsp:rsid wsp:val=&quot;006301D1&quot;/&gt;&lt;wsp:rsid wsp:val=&quot;00630B5A&quot;/&gt;&lt;wsp:rsid wsp:val=&quot;006311E5&quot;/&gt;&lt;wsp:rsid wsp:val=&quot;006316BB&quot;/&gt;&lt;wsp:rsid wsp:val=&quot;006324B4&quot;/&gt;&lt;wsp:rsid wsp:val=&quot;00632F32&quot;/&gt;&lt;wsp:rsid wsp:val=&quot;00633255&quot;/&gt;&lt;wsp:rsid wsp:val=&quot;00633402&quot;/&gt;&lt;wsp:rsid wsp:val=&quot;00633FAF&quot;/&gt;&lt;wsp:rsid wsp:val=&quot;0063469C&quot;/&gt;&lt;wsp:rsid wsp:val=&quot;00634F49&quot;/&gt;&lt;wsp:rsid wsp:val=&quot;00635A33&quot;/&gt;&lt;wsp:rsid wsp:val=&quot;00635FB5&quot;/&gt;&lt;wsp:rsid wsp:val=&quot;00636A02&quot;/&gt;&lt;wsp:rsid wsp:val=&quot;00636A17&quot;/&gt;&lt;wsp:rsid wsp:val=&quot;00636B6E&quot;/&gt;&lt;wsp:rsid wsp:val=&quot;0063739C&quot;/&gt;&lt;wsp:rsid wsp:val=&quot;00640AF7&quot;/&gt;&lt;wsp:rsid wsp:val=&quot;00640B7F&quot;/&gt;&lt;wsp:rsid wsp:val=&quot;00640C6A&quot;/&gt;&lt;wsp:rsid wsp:val=&quot;00641BBA&quot;/&gt;&lt;wsp:rsid wsp:val=&quot;00642346&quot;/&gt;&lt;wsp:rsid wsp:val=&quot;0064235C&quot;/&gt;&lt;wsp:rsid wsp:val=&quot;0064353A&quot;/&gt;&lt;wsp:rsid wsp:val=&quot;006438ED&quot;/&gt;&lt;wsp:rsid wsp:val=&quot;00643C32&quot;/&gt;&lt;wsp:rsid wsp:val=&quot;00644674&quot;/&gt;&lt;wsp:rsid wsp:val=&quot;006450B9&quot;/&gt;&lt;wsp:rsid wsp:val=&quot;00645F4F&quot;/&gt;&lt;wsp:rsid wsp:val=&quot;00647496&quot;/&gt;&lt;wsp:rsid wsp:val=&quot;00647CE8&quot;/&gt;&lt;wsp:rsid wsp:val=&quot;00650160&quot;/&gt;&lt;wsp:rsid wsp:val=&quot;006526B0&quot;/&gt;&lt;wsp:rsid wsp:val=&quot;006527BD&quot;/&gt;&lt;wsp:rsid wsp:val=&quot;0065289A&quot;/&gt;&lt;wsp:rsid wsp:val=&quot;006528CC&quot;/&gt;&lt;wsp:rsid wsp:val=&quot;00652C05&quot;/&gt;&lt;wsp:rsid wsp:val=&quot;0065300E&quot;/&gt;&lt;wsp:rsid wsp:val=&quot;006533F5&quot;/&gt;&lt;wsp:rsid wsp:val=&quot;006534C4&quot;/&gt;&lt;wsp:rsid wsp:val=&quot;00653A74&quot;/&gt;&lt;wsp:rsid wsp:val=&quot;00654511&quot;/&gt;&lt;wsp:rsid wsp:val=&quot;0065554C&quot;/&gt;&lt;wsp:rsid wsp:val=&quot;0065661D&quot;/&gt;&lt;wsp:rsid wsp:val=&quot;00656F4D&quot;/&gt;&lt;wsp:rsid wsp:val=&quot;00660110&quot;/&gt;&lt;wsp:rsid wsp:val=&quot;00660615&quot;/&gt;&lt;wsp:rsid wsp:val=&quot;00660623&quot;/&gt;&lt;wsp:rsid wsp:val=&quot;00660D59&quot;/&gt;&lt;wsp:rsid wsp:val=&quot;0066185F&quot;/&gt;&lt;wsp:rsid wsp:val=&quot;00662466&quot;/&gt;&lt;wsp:rsid wsp:val=&quot;00663BD1&quot;/&gt;&lt;wsp:rsid wsp:val=&quot;00664336&quot;/&gt;&lt;wsp:rsid wsp:val=&quot;006657C2&quot;/&gt;&lt;wsp:rsid wsp:val=&quot;00670E0C&quot;/&gt;&lt;wsp:rsid wsp:val=&quot;00671224&quot;/&gt;&lt;wsp:rsid wsp:val=&quot;0067125B&quot;/&gt;&lt;wsp:rsid wsp:val=&quot;006712B8&quot;/&gt;&lt;wsp:rsid wsp:val=&quot;00671B0D&quot;/&gt;&lt;wsp:rsid wsp:val=&quot;00671B8B&quot;/&gt;&lt;wsp:rsid wsp:val=&quot;00671D49&quot;/&gt;&lt;wsp:rsid wsp:val=&quot;00672120&quot;/&gt;&lt;wsp:rsid wsp:val=&quot;00672654&quot;/&gt;&lt;wsp:rsid wsp:val=&quot;00672C98&quot;/&gt;&lt;wsp:rsid wsp:val=&quot;0067335A&quot;/&gt;&lt;wsp:rsid wsp:val=&quot;00673447&quot;/&gt;&lt;wsp:rsid wsp:val=&quot;00673976&quot;/&gt;&lt;wsp:rsid wsp:val=&quot;00673EEB&quot;/&gt;&lt;wsp:rsid wsp:val=&quot;0067402E&quot;/&gt;&lt;wsp:rsid wsp:val=&quot;00675270&quot;/&gt;&lt;wsp:rsid wsp:val=&quot;006759FB&quot;/&gt;&lt;wsp:rsid wsp:val=&quot;00675C2F&quot;/&gt;&lt;wsp:rsid wsp:val=&quot;00675FA6&quot;/&gt;&lt;wsp:rsid wsp:val=&quot;00677BE0&quot;/&gt;&lt;wsp:rsid wsp:val=&quot;00677E60&quot;/&gt;&lt;wsp:rsid wsp:val=&quot;00681641&quot;/&gt;&lt;wsp:rsid wsp:val=&quot;00682AC1&quot;/&gt;&lt;wsp:rsid wsp:val=&quot;00682FD3&quot;/&gt;&lt;wsp:rsid wsp:val=&quot;00683F1E&quot;/&gt;&lt;wsp:rsid wsp:val=&quot;006852BD&quot;/&gt;&lt;wsp:rsid wsp:val=&quot;006855E4&quot;/&gt;&lt;wsp:rsid wsp:val=&quot;00685D3E&quot;/&gt;&lt;wsp:rsid wsp:val=&quot;00686435&quot;/&gt;&lt;wsp:rsid wsp:val=&quot;00686C5C&quot;/&gt;&lt;wsp:rsid wsp:val=&quot;00686D0C&quot;/&gt;&lt;wsp:rsid wsp:val=&quot;00686F47&quot;/&gt;&lt;wsp:rsid wsp:val=&quot;0068741F&quot;/&gt;&lt;wsp:rsid wsp:val=&quot;00687752&quot;/&gt;&lt;wsp:rsid wsp:val=&quot;00687947&quot;/&gt;&lt;wsp:rsid wsp:val=&quot;00687AD0&quot;/&gt;&lt;wsp:rsid wsp:val=&quot;00687C67&quot;/&gt;&lt;wsp:rsid wsp:val=&quot;00687F91&quot;/&gt;&lt;wsp:rsid wsp:val=&quot;006900DD&quot;/&gt;&lt;wsp:rsid wsp:val=&quot;006907D1&quot;/&gt;&lt;wsp:rsid wsp:val=&quot;00690D05&quot;/&gt;&lt;wsp:rsid wsp:val=&quot;00692A80&quot;/&gt;&lt;wsp:rsid wsp:val=&quot;00692DBF&quot;/&gt;&lt;wsp:rsid wsp:val=&quot;00693388&quot;/&gt;&lt;wsp:rsid wsp:val=&quot;006933BC&quot;/&gt;&lt;wsp:rsid wsp:val=&quot;006943BE&quot;/&gt;&lt;wsp:rsid wsp:val=&quot;006952BE&quot;/&gt;&lt;wsp:rsid wsp:val=&quot;00695B88&quot;/&gt;&lt;wsp:rsid wsp:val=&quot;00695CDB&quot;/&gt;&lt;wsp:rsid wsp:val=&quot;00696577&quot;/&gt;&lt;wsp:rsid wsp:val=&quot;0069692D&quot;/&gt;&lt;wsp:rsid wsp:val=&quot;006971B9&quot;/&gt;&lt;wsp:rsid wsp:val=&quot;006976A7&quot;/&gt;&lt;wsp:rsid wsp:val=&quot;00697A43&quot;/&gt;&lt;wsp:rsid wsp:val=&quot;006A03B6&quot;/&gt;&lt;wsp:rsid wsp:val=&quot;006A0948&quot;/&gt;&lt;wsp:rsid wsp:val=&quot;006A09AC&quot;/&gt;&lt;wsp:rsid wsp:val=&quot;006A15E1&quot;/&gt;&lt;wsp:rsid wsp:val=&quot;006A1C7F&quot;/&gt;&lt;wsp:rsid wsp:val=&quot;006A2FB8&quot;/&gt;&lt;wsp:rsid wsp:val=&quot;006A3EE4&quot;/&gt;&lt;wsp:rsid wsp:val=&quot;006A417B&quot;/&gt;&lt;wsp:rsid wsp:val=&quot;006A6044&quot;/&gt;&lt;wsp:rsid wsp:val=&quot;006A6B36&quot;/&gt;&lt;wsp:rsid wsp:val=&quot;006A76F8&quot;/&gt;&lt;wsp:rsid wsp:val=&quot;006A781D&quot;/&gt;&lt;wsp:rsid wsp:val=&quot;006B03B5&quot;/&gt;&lt;wsp:rsid wsp:val=&quot;006B0BF6&quot;/&gt;&lt;wsp:rsid wsp:val=&quot;006B11EB&quot;/&gt;&lt;wsp:rsid wsp:val=&quot;006B1489&quot;/&gt;&lt;wsp:rsid wsp:val=&quot;006B155F&quot;/&gt;&lt;wsp:rsid wsp:val=&quot;006B1D9D&quot;/&gt;&lt;wsp:rsid wsp:val=&quot;006B1F26&quot;/&gt;&lt;wsp:rsid wsp:val=&quot;006B221E&quot;/&gt;&lt;wsp:rsid wsp:val=&quot;006B24D6&quot;/&gt;&lt;wsp:rsid wsp:val=&quot;006B27F5&quot;/&gt;&lt;wsp:rsid wsp:val=&quot;006B2EF2&quot;/&gt;&lt;wsp:rsid wsp:val=&quot;006B39A6&quot;/&gt;&lt;wsp:rsid wsp:val=&quot;006B3C58&quot;/&gt;&lt;wsp:rsid wsp:val=&quot;006B4B50&quot;/&gt;&lt;wsp:rsid wsp:val=&quot;006B4C92&quot;/&gt;&lt;wsp:rsid wsp:val=&quot;006B4EEA&quot;/&gt;&lt;wsp:rsid wsp:val=&quot;006B538F&quot;/&gt;&lt;wsp:rsid wsp:val=&quot;006B5A5A&quot;/&gt;&lt;wsp:rsid wsp:val=&quot;006B5E82&quot;/&gt;&lt;wsp:rsid wsp:val=&quot;006B6481&quot;/&gt;&lt;wsp:rsid wsp:val=&quot;006B6D1B&quot;/&gt;&lt;wsp:rsid wsp:val=&quot;006B7AFC&quot;/&gt;&lt;wsp:rsid wsp:val=&quot;006B7FE3&quot;/&gt;&lt;wsp:rsid wsp:val=&quot;006C02FF&quot;/&gt;&lt;wsp:rsid wsp:val=&quot;006C1491&quot;/&gt;&lt;wsp:rsid wsp:val=&quot;006C1CF4&quot;/&gt;&lt;wsp:rsid wsp:val=&quot;006C22CF&quot;/&gt;&lt;wsp:rsid wsp:val=&quot;006C283D&quot;/&gt;&lt;wsp:rsid wsp:val=&quot;006C284A&quot;/&gt;&lt;wsp:rsid wsp:val=&quot;006C31AD&quot;/&gt;&lt;wsp:rsid wsp:val=&quot;006C5233&quot;/&gt;&lt;wsp:rsid wsp:val=&quot;006C53E8&quot;/&gt;&lt;wsp:rsid wsp:val=&quot;006C55E6&quot;/&gt;&lt;wsp:rsid wsp:val=&quot;006C5E29&quot;/&gt;&lt;wsp:rsid wsp:val=&quot;006C682C&quot;/&gt;&lt;wsp:rsid wsp:val=&quot;006C75C0&quot;/&gt;&lt;wsp:rsid wsp:val=&quot;006D0213&quot;/&gt;&lt;wsp:rsid wsp:val=&quot;006D1F57&quot;/&gt;&lt;wsp:rsid wsp:val=&quot;006D2786&quot;/&gt;&lt;wsp:rsid wsp:val=&quot;006D2B47&quot;/&gt;&lt;wsp:rsid wsp:val=&quot;006D2F05&quot;/&gt;&lt;wsp:rsid wsp:val=&quot;006D3B3A&quot;/&gt;&lt;wsp:rsid wsp:val=&quot;006D3BED&quot;/&gt;&lt;wsp:rsid wsp:val=&quot;006D40F7&quot;/&gt;&lt;wsp:rsid wsp:val=&quot;006D4C4F&quot;/&gt;&lt;wsp:rsid wsp:val=&quot;006D7767&quot;/&gt;&lt;wsp:rsid wsp:val=&quot;006E0330&quot;/&gt;&lt;wsp:rsid wsp:val=&quot;006E0C6D&quot;/&gt;&lt;wsp:rsid wsp:val=&quot;006E101E&quot;/&gt;&lt;wsp:rsid wsp:val=&quot;006E1DD5&quot;/&gt;&lt;wsp:rsid wsp:val=&quot;006E30FF&quot;/&gt;&lt;wsp:rsid wsp:val=&quot;006E38C3&quot;/&gt;&lt;wsp:rsid wsp:val=&quot;006E3A0C&quot;/&gt;&lt;wsp:rsid wsp:val=&quot;006E6B4D&quot;/&gt;&lt;wsp:rsid wsp:val=&quot;006E6CA3&quot;/&gt;&lt;wsp:rsid wsp:val=&quot;006E7961&quot;/&gt;&lt;wsp:rsid wsp:val=&quot;006F0B2E&quot;/&gt;&lt;wsp:rsid wsp:val=&quot;006F0CBE&quot;/&gt;&lt;wsp:rsid wsp:val=&quot;006F21CD&quot;/&gt;&lt;wsp:rsid wsp:val=&quot;006F3104&quot;/&gt;&lt;wsp:rsid wsp:val=&quot;006F397C&quot;/&gt;&lt;wsp:rsid wsp:val=&quot;006F479B&quot;/&gt;&lt;wsp:rsid wsp:val=&quot;006F50B4&quot;/&gt;&lt;wsp:rsid wsp:val=&quot;006F56AA&quot;/&gt;&lt;wsp:rsid wsp:val=&quot;006F58CC&quot;/&gt;&lt;wsp:rsid wsp:val=&quot;006F58D2&quot;/&gt;&lt;wsp:rsid wsp:val=&quot;006F6346&quot;/&gt;&lt;wsp:rsid wsp:val=&quot;006F726D&quot;/&gt;&lt;wsp:rsid wsp:val=&quot;006F73D8&quot;/&gt;&lt;wsp:rsid wsp:val=&quot;007006A9&quot;/&gt;&lt;wsp:rsid wsp:val=&quot;00700861&quot;/&gt;&lt;wsp:rsid wsp:val=&quot;00700D70&quot;/&gt;&lt;wsp:rsid wsp:val=&quot;00701553&quot;/&gt;&lt;wsp:rsid wsp:val=&quot;00701A03&quot;/&gt;&lt;wsp:rsid wsp:val=&quot;00701A52&quot;/&gt;&lt;wsp:rsid wsp:val=&quot;00702AB7&quot;/&gt;&lt;wsp:rsid wsp:val=&quot;00703047&quot;/&gt;&lt;wsp:rsid wsp:val=&quot;00703290&quot;/&gt;&lt;wsp:rsid wsp:val=&quot;007041A4&quot;/&gt;&lt;wsp:rsid wsp:val=&quot;00704B3E&quot;/&gt;&lt;wsp:rsid wsp:val=&quot;00704C3F&quot;/&gt;&lt;wsp:rsid wsp:val=&quot;00704D08&quot;/&gt;&lt;wsp:rsid wsp:val=&quot;0070502E&quot;/&gt;&lt;wsp:rsid wsp:val=&quot;00706355&quot;/&gt;&lt;wsp:rsid wsp:val=&quot;007109D2&quot;/&gt;&lt;wsp:rsid wsp:val=&quot;00711C50&quot;/&gt;&lt;wsp:rsid wsp:val=&quot;00711F4F&quot;/&gt;&lt;wsp:rsid wsp:val=&quot;007127D7&quot;/&gt;&lt;wsp:rsid wsp:val=&quot;00712E2D&quot;/&gt;&lt;wsp:rsid wsp:val=&quot;00712FF8&quot;/&gt;&lt;wsp:rsid wsp:val=&quot;00713731&quot;/&gt;&lt;wsp:rsid wsp:val=&quot;00713A56&quot;/&gt;&lt;wsp:rsid wsp:val=&quot;00715276&quot;/&gt;&lt;wsp:rsid wsp:val=&quot;007156FC&quot;/&gt;&lt;wsp:rsid wsp:val=&quot;00715D49&quot;/&gt;&lt;wsp:rsid wsp:val=&quot;007166AA&quot;/&gt;&lt;wsp:rsid wsp:val=&quot;007172CC&quot;/&gt;&lt;wsp:rsid wsp:val=&quot;0072039F&quot;/&gt;&lt;wsp:rsid wsp:val=&quot;007209D0&quot;/&gt;&lt;wsp:rsid wsp:val=&quot;00720AFC&quot;/&gt;&lt;wsp:rsid wsp:val=&quot;00721332&quot;/&gt;&lt;wsp:rsid wsp:val=&quot;00722100&quot;/&gt;&lt;wsp:rsid wsp:val=&quot;007225E8&quot;/&gt;&lt;wsp:rsid wsp:val=&quot;00722E2C&quot;/&gt;&lt;wsp:rsid wsp:val=&quot;00722E61&quot;/&gt;&lt;wsp:rsid wsp:val=&quot;00723C8C&quot;/&gt;&lt;wsp:rsid wsp:val=&quot;00723E43&quot;/&gt;&lt;wsp:rsid wsp:val=&quot;00724654&quot;/&gt;&lt;wsp:rsid wsp:val=&quot;00725770&quot;/&gt;&lt;wsp:rsid wsp:val=&quot;007260AF&quot;/&gt;&lt;wsp:rsid wsp:val=&quot;007273F4&quot;/&gt;&lt;wsp:rsid wsp:val=&quot;007275D4&quot;/&gt;&lt;wsp:rsid wsp:val=&quot;00730168&quot;/&gt;&lt;wsp:rsid wsp:val=&quot;00730A31&quot;/&gt;&lt;wsp:rsid wsp:val=&quot;00731999&quot;/&gt;&lt;wsp:rsid wsp:val=&quot;00731E4F&quot;/&gt;&lt;wsp:rsid wsp:val=&quot;00733A08&quot;/&gt;&lt;wsp:rsid wsp:val=&quot;00733C89&quot;/&gt;&lt;wsp:rsid wsp:val=&quot;007367A6&quot;/&gt;&lt;wsp:rsid wsp:val=&quot;00736D4A&quot;/&gt;&lt;wsp:rsid wsp:val=&quot;0073771B&quot;/&gt;&lt;wsp:rsid wsp:val=&quot;00737FF3&quot;/&gt;&lt;wsp:rsid wsp:val=&quot;00740091&quot;/&gt;&lt;wsp:rsid wsp:val=&quot;0074065A&quot;/&gt;&lt;wsp:rsid wsp:val=&quot;0074082B&quot;/&gt;&lt;wsp:rsid wsp:val=&quot;0074091A&quot;/&gt;&lt;wsp:rsid wsp:val=&quot;00740DFC&quot;/&gt;&lt;wsp:rsid wsp:val=&quot;00741621&quot;/&gt;&lt;wsp:rsid wsp:val=&quot;0074167C&quot;/&gt;&lt;wsp:rsid wsp:val=&quot;00741BC6&quot;/&gt;&lt;wsp:rsid wsp:val=&quot;00742D3A&quot;/&gt;&lt;wsp:rsid wsp:val=&quot;007435A2&quot;/&gt;&lt;wsp:rsid wsp:val=&quot;007439AD&quot;/&gt;&lt;wsp:rsid wsp:val=&quot;0074590C&quot;/&gt;&lt;wsp:rsid wsp:val=&quot;00745BD2&quot;/&gt;&lt;wsp:rsid wsp:val=&quot;0074670C&quot;/&gt;&lt;wsp:rsid wsp:val=&quot;00746EA6&quot;/&gt;&lt;wsp:rsid wsp:val=&quot;00747622&quot;/&gt;&lt;wsp:rsid wsp:val=&quot;007501A3&quot;/&gt;&lt;wsp:rsid wsp:val=&quot;00750899&quot;/&gt;&lt;wsp:rsid wsp:val=&quot;00751D56&quot;/&gt;&lt;wsp:rsid wsp:val=&quot;00752330&quot;/&gt;&lt;wsp:rsid wsp:val=&quot;007527D9&quot;/&gt;&lt;wsp:rsid wsp:val=&quot;007534CE&quot;/&gt;&lt;wsp:rsid wsp:val=&quot;007534F1&quot;/&gt;&lt;wsp:rsid wsp:val=&quot;00753618&quot;/&gt;&lt;wsp:rsid wsp:val=&quot;00754126&quot;/&gt;&lt;wsp:rsid wsp:val=&quot;00754B37&quot;/&gt;&lt;wsp:rsid wsp:val=&quot;007550C3&quot;/&gt;&lt;wsp:rsid wsp:val=&quot;0075520F&quot;/&gt;&lt;wsp:rsid wsp:val=&quot;00755647&quot;/&gt;&lt;wsp:rsid wsp:val=&quot;00755679&quot;/&gt;&lt;wsp:rsid wsp:val=&quot;00756284&quot;/&gt;&lt;wsp:rsid wsp:val=&quot;007563E9&quot;/&gt;&lt;wsp:rsid wsp:val=&quot;007567DA&quot;/&gt;&lt;wsp:rsid wsp:val=&quot;00756C30&quot;/&gt;&lt;wsp:rsid wsp:val=&quot;00757FBC&quot;/&gt;&lt;wsp:rsid wsp:val=&quot;00760894&quot;/&gt;&lt;wsp:rsid wsp:val=&quot;00760AC6&quot;/&gt;&lt;wsp:rsid wsp:val=&quot;007610A5&quot;/&gt;&lt;wsp:rsid wsp:val=&quot;00761309&quot;/&gt;&lt;wsp:rsid wsp:val=&quot;00761662&quot;/&gt;&lt;wsp:rsid wsp:val=&quot;00761811&quot;/&gt;&lt;wsp:rsid wsp:val=&quot;00761BC5&quot;/&gt;&lt;wsp:rsid wsp:val=&quot;00761F74&quot;/&gt;&lt;wsp:rsid wsp:val=&quot;00761F9C&quot;/&gt;&lt;wsp:rsid wsp:val=&quot;007623A4&quot;/&gt;&lt;wsp:rsid wsp:val=&quot;00762825&quot;/&gt;&lt;wsp:rsid wsp:val=&quot;00762D77&quot;/&gt;&lt;wsp:rsid wsp:val=&quot;00762F67&quot;/&gt;&lt;wsp:rsid wsp:val=&quot;00763177&quot;/&gt;&lt;wsp:rsid wsp:val=&quot;00763E5D&quot;/&gt;&lt;wsp:rsid wsp:val=&quot;0076431B&quot;/&gt;&lt;wsp:rsid wsp:val=&quot;007651B6&quot;/&gt;&lt;wsp:rsid wsp:val=&quot;007654E1&quot;/&gt;&lt;wsp:rsid wsp:val=&quot;00766455&quot;/&gt;&lt;wsp:rsid wsp:val=&quot;00767940&quot;/&gt;&lt;wsp:rsid wsp:val=&quot;00767E91&quot;/&gt;&lt;wsp:rsid wsp:val=&quot;00767EC5&quot;/&gt;&lt;wsp:rsid wsp:val=&quot;00770B8D&quot;/&gt;&lt;wsp:rsid wsp:val=&quot;00771152&quot;/&gt;&lt;wsp:rsid wsp:val=&quot;00771DB3&quot;/&gt;&lt;wsp:rsid wsp:val=&quot;007726C6&quot;/&gt;&lt;wsp:rsid wsp:val=&quot;00772975&quot;/&gt;&lt;wsp:rsid wsp:val=&quot;0077299A&quot;/&gt;&lt;wsp:rsid wsp:val=&quot;00772B6E&quot;/&gt;&lt;wsp:rsid wsp:val=&quot;00773000&quot;/&gt;&lt;wsp:rsid wsp:val=&quot;00774D5C&quot;/&gt;&lt;wsp:rsid wsp:val=&quot;00776066&quot;/&gt;&lt;wsp:rsid wsp:val=&quot;00776366&quot;/&gt;&lt;wsp:rsid wsp:val=&quot;007768E4&quot;/&gt;&lt;wsp:rsid wsp:val=&quot;00776B89&quot;/&gt;&lt;wsp:rsid wsp:val=&quot;0077716A&quot;/&gt;&lt;wsp:rsid wsp:val=&quot;007777E4&quot;/&gt;&lt;wsp:rsid wsp:val=&quot;007805B8&quot;/&gt;&lt;wsp:rsid wsp:val=&quot;00782080&quot;/&gt;&lt;wsp:rsid wsp:val=&quot;00782341&quot;/&gt;&lt;wsp:rsid wsp:val=&quot;00782948&quot;/&gt;&lt;wsp:rsid wsp:val=&quot;007833E3&quot;/&gt;&lt;wsp:rsid wsp:val=&quot;007834D0&quot;/&gt;&lt;wsp:rsid wsp:val=&quot;00783E81&quot;/&gt;&lt;wsp:rsid wsp:val=&quot;0078436D&quot;/&gt;&lt;wsp:rsid wsp:val=&quot;00784A89&quot;/&gt;&lt;wsp:rsid wsp:val=&quot;00784B16&quot;/&gt;&lt;wsp:rsid wsp:val=&quot;00786762&quot;/&gt;&lt;wsp:rsid wsp:val=&quot;00787558&quot;/&gt;&lt;wsp:rsid wsp:val=&quot;007907F0&quot;/&gt;&lt;wsp:rsid wsp:val=&quot;00791616&quot;/&gt;&lt;wsp:rsid wsp:val=&quot;00792636&quot;/&gt;&lt;wsp:rsid wsp:val=&quot;007928FF&quot;/&gt;&lt;wsp:rsid wsp:val=&quot;00792A32&quot;/&gt;&lt;wsp:rsid wsp:val=&quot;00793D20&quot;/&gt;&lt;wsp:rsid wsp:val=&quot;00794C56&quot;/&gt;&lt;wsp:rsid wsp:val=&quot;00795A01&quot;/&gt;&lt;wsp:rsid wsp:val=&quot;00795A88&quot;/&gt;&lt;wsp:rsid wsp:val=&quot;007960FD&quot;/&gt;&lt;wsp:rsid wsp:val=&quot;00796A1B&quot;/&gt;&lt;wsp:rsid wsp:val=&quot;00797271&quot;/&gt;&lt;wsp:rsid wsp:val=&quot;00797DF7&quot;/&gt;&lt;wsp:rsid wsp:val=&quot;007A0720&quot;/&gt;&lt;wsp:rsid wsp:val=&quot;007A19F1&quot;/&gt;&lt;wsp:rsid wsp:val=&quot;007A1D17&quot;/&gt;&lt;wsp:rsid wsp:val=&quot;007A30AB&quot;/&gt;&lt;wsp:rsid wsp:val=&quot;007A33C6&quot;/&gt;&lt;wsp:rsid wsp:val=&quot;007A3697&quot;/&gt;&lt;wsp:rsid wsp:val=&quot;007A445D&quot;/&gt;&lt;wsp:rsid wsp:val=&quot;007A5694&quot;/&gt;&lt;wsp:rsid wsp:val=&quot;007A67F7&quot;/&gt;&lt;wsp:rsid wsp:val=&quot;007A6D0F&quot;/&gt;&lt;wsp:rsid wsp:val=&quot;007A7B6E&quot;/&gt;&lt;wsp:rsid wsp:val=&quot;007A7FA6&quot;/&gt;&lt;wsp:rsid wsp:val=&quot;007B00BA&quot;/&gt;&lt;wsp:rsid wsp:val=&quot;007B05DD&quot;/&gt;&lt;wsp:rsid wsp:val=&quot;007B0B73&quot;/&gt;&lt;wsp:rsid wsp:val=&quot;007B19BA&quot;/&gt;&lt;wsp:rsid wsp:val=&quot;007B1F6A&quot;/&gt;&lt;wsp:rsid wsp:val=&quot;007B2097&quot;/&gt;&lt;wsp:rsid wsp:val=&quot;007B299B&quot;/&gt;&lt;wsp:rsid wsp:val=&quot;007B3F88&quot;/&gt;&lt;wsp:rsid wsp:val=&quot;007B3FD9&quot;/&gt;&lt;wsp:rsid wsp:val=&quot;007B609A&quot;/&gt;&lt;wsp:rsid wsp:val=&quot;007B6AD4&quot;/&gt;&lt;wsp:rsid wsp:val=&quot;007B6B1A&quot;/&gt;&lt;wsp:rsid wsp:val=&quot;007B7944&quot;/&gt;&lt;wsp:rsid wsp:val=&quot;007C1724&quot;/&gt;&lt;wsp:rsid wsp:val=&quot;007C1DA9&quot;/&gt;&lt;wsp:rsid wsp:val=&quot;007C2867&quot;/&gt;&lt;wsp:rsid wsp:val=&quot;007C3E1B&quot;/&gt;&lt;wsp:rsid wsp:val=&quot;007C41AC&quot;/&gt;&lt;wsp:rsid wsp:val=&quot;007C5DBF&quot;/&gt;&lt;wsp:rsid wsp:val=&quot;007C5DFF&quot;/&gt;&lt;wsp:rsid wsp:val=&quot;007C5EC2&quot;/&gt;&lt;wsp:rsid wsp:val=&quot;007C649B&quot;/&gt;&lt;wsp:rsid wsp:val=&quot;007C712D&quot;/&gt;&lt;wsp:rsid wsp:val=&quot;007C71FA&quot;/&gt;&lt;wsp:rsid wsp:val=&quot;007C78A2&quot;/&gt;&lt;wsp:rsid wsp:val=&quot;007D014B&quot;/&gt;&lt;wsp:rsid wsp:val=&quot;007D1233&quot;/&gt;&lt;wsp:rsid wsp:val=&quot;007D21D3&quot;/&gt;&lt;wsp:rsid wsp:val=&quot;007D24C4&quot;/&gt;&lt;wsp:rsid wsp:val=&quot;007D25E5&quot;/&gt;&lt;wsp:rsid wsp:val=&quot;007D58F0&quot;/&gt;&lt;wsp:rsid wsp:val=&quot;007D65FD&quot;/&gt;&lt;wsp:rsid wsp:val=&quot;007D6F52&quot;/&gt;&lt;wsp:rsid wsp:val=&quot;007D7841&quot;/&gt;&lt;wsp:rsid wsp:val=&quot;007E00A4&quot;/&gt;&lt;wsp:rsid wsp:val=&quot;007E0578&quot;/&gt;&lt;wsp:rsid wsp:val=&quot;007E0A0D&quot;/&gt;&lt;wsp:rsid wsp:val=&quot;007E0DB4&quot;/&gt;&lt;wsp:rsid wsp:val=&quot;007E132B&quot;/&gt;&lt;wsp:rsid wsp:val=&quot;007E289D&quot;/&gt;&lt;wsp:rsid wsp:val=&quot;007E29B8&quot;/&gt;&lt;wsp:rsid wsp:val=&quot;007E325F&quot;/&gt;&lt;wsp:rsid wsp:val=&quot;007E3965&quot;/&gt;&lt;wsp:rsid wsp:val=&quot;007E76E4&quot;/&gt;&lt;wsp:rsid wsp:val=&quot;007E7928&quot;/&gt;&lt;wsp:rsid wsp:val=&quot;007E7B60&quot;/&gt;&lt;wsp:rsid wsp:val=&quot;007F08CD&quot;/&gt;&lt;wsp:rsid wsp:val=&quot;007F0BD0&quot;/&gt;&lt;wsp:rsid wsp:val=&quot;007F148A&quot;/&gt;&lt;wsp:rsid wsp:val=&quot;007F16E4&quot;/&gt;&lt;wsp:rsid wsp:val=&quot;007F1EF5&quot;/&gt;&lt;wsp:rsid wsp:val=&quot;007F2164&quot;/&gt;&lt;wsp:rsid wsp:val=&quot;007F2663&quot;/&gt;&lt;wsp:rsid wsp:val=&quot;007F28FE&quot;/&gt;&lt;wsp:rsid wsp:val=&quot;007F32E1&quot;/&gt;&lt;wsp:rsid wsp:val=&quot;007F3AF2&quot;/&gt;&lt;wsp:rsid wsp:val=&quot;007F4751&quot;/&gt;&lt;wsp:rsid wsp:val=&quot;007F4DEB&quot;/&gt;&lt;wsp:rsid wsp:val=&quot;007F5273&quot;/&gt;&lt;wsp:rsid wsp:val=&quot;007F5861&quot;/&gt;&lt;wsp:rsid wsp:val=&quot;007F5A6C&quot;/&gt;&lt;wsp:rsid wsp:val=&quot;007F5F9A&quot;/&gt;&lt;wsp:rsid wsp:val=&quot;007F6085&quot;/&gt;&lt;wsp:rsid wsp:val=&quot;007F6A11&quot;/&gt;&lt;wsp:rsid wsp:val=&quot;007F6BF9&quot;/&gt;&lt;wsp:rsid wsp:val=&quot;007F6DA9&quot;/&gt;&lt;wsp:rsid wsp:val=&quot;007F7723&quot;/&gt;&lt;wsp:rsid wsp:val=&quot;007F7AC6&quot;/&gt;&lt;wsp:rsid wsp:val=&quot;008008F4&quot;/&gt;&lt;wsp:rsid wsp:val=&quot;008012A1&quot;/&gt;&lt;wsp:rsid wsp:val=&quot;008015E7&quot;/&gt;&lt;wsp:rsid wsp:val=&quot;008016E8&quot;/&gt;&lt;wsp:rsid wsp:val=&quot;00801FCE&quot;/&gt;&lt;wsp:rsid wsp:val=&quot;00802A27&quot;/&gt;&lt;wsp:rsid wsp:val=&quot;0080314F&quot;/&gt;&lt;wsp:rsid wsp:val=&quot;00803A8E&quot;/&gt;&lt;wsp:rsid wsp:val=&quot;00804F50&quot;/&gt;&lt;wsp:rsid wsp:val=&quot;0080530D&quot;/&gt;&lt;wsp:rsid wsp:val=&quot;008069FC&quot;/&gt;&lt;wsp:rsid wsp:val=&quot;00806FDE&quot;/&gt;&lt;wsp:rsid wsp:val=&quot;00807355&quot;/&gt;&lt;wsp:rsid wsp:val=&quot;00807A07&quot;/&gt;&lt;wsp:rsid wsp:val=&quot;00807A49&quot;/&gt;&lt;wsp:rsid wsp:val=&quot;00807CDB&quot;/&gt;&lt;wsp:rsid wsp:val=&quot;00807FD6&quot;/&gt;&lt;wsp:rsid wsp:val=&quot;00807FFD&quot;/&gt;&lt;wsp:rsid wsp:val=&quot;00811268&quot;/&gt;&lt;wsp:rsid wsp:val=&quot;00811480&quot;/&gt;&lt;wsp:rsid wsp:val=&quot;00812AF5&quot;/&gt;&lt;wsp:rsid wsp:val=&quot;00813964&quot;/&gt;&lt;wsp:rsid wsp:val=&quot;00813F7D&quot;/&gt;&lt;wsp:rsid wsp:val=&quot;00815302&quot;/&gt;&lt;wsp:rsid wsp:val=&quot;00815488&quot;/&gt;&lt;wsp:rsid wsp:val=&quot;00816D31&quot;/&gt;&lt;wsp:rsid wsp:val=&quot;00817A8B&quot;/&gt;&lt;wsp:rsid wsp:val=&quot;00817AA7&quot;/&gt;&lt;wsp:rsid wsp:val=&quot;00817C86&quot;/&gt;&lt;wsp:rsid wsp:val=&quot;00817ED0&quot;/&gt;&lt;wsp:rsid wsp:val=&quot;0082129B&quot;/&gt;&lt;wsp:rsid wsp:val=&quot;008212BD&quot;/&gt;&lt;wsp:rsid wsp:val=&quot;008217E2&quot;/&gt;&lt;wsp:rsid wsp:val=&quot;00821854&quot;/&gt;&lt;wsp:rsid wsp:val=&quot;0082189C&quot;/&gt;&lt;wsp:rsid wsp:val=&quot;00821DC8&quot;/&gt;&lt;wsp:rsid wsp:val=&quot;008220FE&quot;/&gt;&lt;wsp:rsid wsp:val=&quot;00822608&quot;/&gt;&lt;wsp:rsid wsp:val=&quot;00822FF9&quot;/&gt;&lt;wsp:rsid wsp:val=&quot;00824106&quot;/&gt;&lt;wsp:rsid wsp:val=&quot;0082484F&quot;/&gt;&lt;wsp:rsid wsp:val=&quot;00824D26&quot;/&gt;&lt;wsp:rsid wsp:val=&quot;00824D91&quot;/&gt;&lt;wsp:rsid wsp:val=&quot;00826B7C&quot;/&gt;&lt;wsp:rsid wsp:val=&quot;00826C90&quot;/&gt;&lt;wsp:rsid wsp:val=&quot;00827213&quot;/&gt;&lt;wsp:rsid wsp:val=&quot;008274C0&quot;/&gt;&lt;wsp:rsid wsp:val=&quot;008276E3&quot;/&gt;&lt;wsp:rsid wsp:val=&quot;008311B7&quot;/&gt;&lt;wsp:rsid wsp:val=&quot;00831AD3&quot;/&gt;&lt;wsp:rsid wsp:val=&quot;00831D8D&quot;/&gt;&lt;wsp:rsid wsp:val=&quot;008324BA&quot;/&gt;&lt;wsp:rsid wsp:val=&quot;0083253B&quot;/&gt;&lt;wsp:rsid wsp:val=&quot;008325BB&quot;/&gt;&lt;wsp:rsid wsp:val=&quot;008327A0&quot;/&gt;&lt;wsp:rsid wsp:val=&quot;008327E5&quot;/&gt;&lt;wsp:rsid wsp:val=&quot;00832884&quot;/&gt;&lt;wsp:rsid wsp:val=&quot;00833523&quot;/&gt;&lt;wsp:rsid wsp:val=&quot;00833A18&quot;/&gt;&lt;wsp:rsid wsp:val=&quot;00833E04&quot;/&gt;&lt;wsp:rsid wsp:val=&quot;00834273&quot;/&gt;&lt;wsp:rsid wsp:val=&quot;00834D02&quot;/&gt;&lt;wsp:rsid wsp:val=&quot;00834FA6&quot;/&gt;&lt;wsp:rsid wsp:val=&quot;00835118&quot;/&gt;&lt;wsp:rsid wsp:val=&quot;008359BD&quot;/&gt;&lt;wsp:rsid wsp:val=&quot;00836A33&quot;/&gt;&lt;wsp:rsid wsp:val=&quot;008371B9&quot;/&gt;&lt;wsp:rsid wsp:val=&quot;00840BC0&quot;/&gt;&lt;wsp:rsid wsp:val=&quot;00840F67&quot;/&gt;&lt;wsp:rsid wsp:val=&quot;00841D97&quot;/&gt;&lt;wsp:rsid wsp:val=&quot;008421C9&quot;/&gt;&lt;wsp:rsid wsp:val=&quot;00842B89&quot;/&gt;&lt;wsp:rsid wsp:val=&quot;008433AD&quot;/&gt;&lt;wsp:rsid wsp:val=&quot;00843B94&quot;/&gt;&lt;wsp:rsid wsp:val=&quot;00844099&quot;/&gt;&lt;wsp:rsid wsp:val=&quot;00844A62&quot;/&gt;&lt;wsp:rsid wsp:val=&quot;00844CC3&quot;/&gt;&lt;wsp:rsid wsp:val=&quot;00845A0C&quot;/&gt;&lt;wsp:rsid wsp:val=&quot;00845AFF&quot;/&gt;&lt;wsp:rsid wsp:val=&quot;00846130&quot;/&gt;&lt;wsp:rsid wsp:val=&quot;008473D9&quot;/&gt;&lt;wsp:rsid wsp:val=&quot;00847809&quot;/&gt;&lt;wsp:rsid wsp:val=&quot;00850103&quot;/&gt;&lt;wsp:rsid wsp:val=&quot;008509E9&quot;/&gt;&lt;wsp:rsid wsp:val=&quot;00850B35&quot;/&gt;&lt;wsp:rsid wsp:val=&quot;008513F0&quot;/&gt;&lt;wsp:rsid wsp:val=&quot;00853990&quot;/&gt;&lt;wsp:rsid wsp:val=&quot;008548B6&quot;/&gt;&lt;wsp:rsid wsp:val=&quot;00854920&quot;/&gt;&lt;wsp:rsid wsp:val=&quot;00854C50&quot;/&gt;&lt;wsp:rsid wsp:val=&quot;00855279&quot;/&gt;&lt;wsp:rsid wsp:val=&quot;00855670&quot;/&gt;&lt;wsp:rsid wsp:val=&quot;008559BD&quot;/&gt;&lt;wsp:rsid wsp:val=&quot;00855E91&quot;/&gt;&lt;wsp:rsid wsp:val=&quot;008561FC&quot;/&gt;&lt;wsp:rsid wsp:val=&quot;00856401&quot;/&gt;&lt;wsp:rsid wsp:val=&quot;00856583&quot;/&gt;&lt;wsp:rsid wsp:val=&quot;008577F6&quot;/&gt;&lt;wsp:rsid wsp:val=&quot;00857DB7&quot;/&gt;&lt;wsp:rsid wsp:val=&quot;00857FD3&quot;/&gt;&lt;wsp:rsid wsp:val=&quot;0086020F&quot;/&gt;&lt;wsp:rsid wsp:val=&quot;0086069A&quot;/&gt;&lt;wsp:rsid wsp:val=&quot;00860A8A&quot;/&gt;&lt;wsp:rsid wsp:val=&quot;00861A12&quot;/&gt;&lt;wsp:rsid wsp:val=&quot;00862BFB&quot;/&gt;&lt;wsp:rsid wsp:val=&quot;00862EAB&quot;/&gt;&lt;wsp:rsid wsp:val=&quot;008634BF&quot;/&gt;&lt;wsp:rsid wsp:val=&quot;0086364F&quot;/&gt;&lt;wsp:rsid wsp:val=&quot;00864111&quot;/&gt;&lt;wsp:rsid wsp:val=&quot;008647B0&quot;/&gt;&lt;wsp:rsid wsp:val=&quot;008650FB&quot;/&gt;&lt;wsp:rsid wsp:val=&quot;00865CFA&quot;/&gt;&lt;wsp:rsid wsp:val=&quot;0086623E&quot;/&gt;&lt;wsp:rsid wsp:val=&quot;00866360&quot;/&gt;&lt;wsp:rsid wsp:val=&quot;00866B20&quot;/&gt;&lt;wsp:rsid wsp:val=&quot;008678B5&quot;/&gt;&lt;wsp:rsid wsp:val=&quot;008701A3&quot;/&gt;&lt;wsp:rsid wsp:val=&quot;00871BB9&quot;/&gt;&lt;wsp:rsid wsp:val=&quot;00872B62&quot;/&gt;&lt;wsp:rsid wsp:val=&quot;00872C89&quot;/&gt;&lt;wsp:rsid wsp:val=&quot;00873750&quot;/&gt;&lt;wsp:rsid wsp:val=&quot;00873794&quot;/&gt;&lt;wsp:rsid wsp:val=&quot;00874024&quot;/&gt;&lt;wsp:rsid wsp:val=&quot;00874F26&quot;/&gt;&lt;wsp:rsid wsp:val=&quot;00875457&quot;/&gt;&lt;wsp:rsid wsp:val=&quot;008759B2&quot;/&gt;&lt;wsp:rsid wsp:val=&quot;00875C35&quot;/&gt;&lt;wsp:rsid wsp:val=&quot;00875D71&quot;/&gt;&lt;wsp:rsid wsp:val=&quot;00876904&quot;/&gt;&lt;wsp:rsid wsp:val=&quot;00876C9B&quot;/&gt;&lt;wsp:rsid wsp:val=&quot;00876D13&quot;/&gt;&lt;wsp:rsid wsp:val=&quot;0087739D&quot;/&gt;&lt;wsp:rsid wsp:val=&quot;00880235&quot;/&gt;&lt;wsp:rsid wsp:val=&quot;008807DB&quot;/&gt;&lt;wsp:rsid wsp:val=&quot;00880CB0&quot;/&gt;&lt;wsp:rsid wsp:val=&quot;0088237B&quot;/&gt;&lt;wsp:rsid wsp:val=&quot;00883DD6&quot;/&gt;&lt;wsp:rsid wsp:val=&quot;0088445F&quot;/&gt;&lt;wsp:rsid wsp:val=&quot;00884A28&quot;/&gt;&lt;wsp:rsid wsp:val=&quot;0088505A&quot;/&gt;&lt;wsp:rsid wsp:val=&quot;00887C1E&quot;/&gt;&lt;wsp:rsid wsp:val=&quot;00887D39&quot;/&gt;&lt;wsp:rsid wsp:val=&quot;00890508&quot;/&gt;&lt;wsp:rsid wsp:val=&quot;0089088A&quot;/&gt;&lt;wsp:rsid wsp:val=&quot;00890A83&quot;/&gt;&lt;wsp:rsid wsp:val=&quot;00890FC9&quot;/&gt;&lt;wsp:rsid wsp:val=&quot;00891DC5&quot;/&gt;&lt;wsp:rsid wsp:val=&quot;0089203F&quot;/&gt;&lt;wsp:rsid wsp:val=&quot;00892871&quot;/&gt;&lt;wsp:rsid wsp:val=&quot;0089301A&quot;/&gt;&lt;wsp:rsid wsp:val=&quot;008931E6&quot;/&gt;&lt;wsp:rsid wsp:val=&quot;008941E1&quot;/&gt;&lt;wsp:rsid wsp:val=&quot;008944C7&quot;/&gt;&lt;wsp:rsid wsp:val=&quot;008947B0&quot;/&gt;&lt;wsp:rsid wsp:val=&quot;0089593B&quot;/&gt;&lt;wsp:rsid wsp:val=&quot;00895B75&quot;/&gt;&lt;wsp:rsid wsp:val=&quot;00896BA2&quot;/&gt;&lt;wsp:rsid wsp:val=&quot;00897A0C&quot;/&gt;&lt;wsp:rsid wsp:val=&quot;008A0C09&quot;/&gt;&lt;wsp:rsid wsp:val=&quot;008A1026&quot;/&gt;&lt;wsp:rsid wsp:val=&quot;008A107E&quot;/&gt;&lt;wsp:rsid wsp:val=&quot;008A1543&quot;/&gt;&lt;wsp:rsid wsp:val=&quot;008A2C61&quot;/&gt;&lt;wsp:rsid wsp:val=&quot;008A3A2B&quot;/&gt;&lt;wsp:rsid wsp:val=&quot;008A47D5&quot;/&gt;&lt;wsp:rsid wsp:val=&quot;008A4AE4&quot;/&gt;&lt;wsp:rsid wsp:val=&quot;008A54C5&quot;/&gt;&lt;wsp:rsid wsp:val=&quot;008A5552&quot;/&gt;&lt;wsp:rsid wsp:val=&quot;008A6044&quot;/&gt;&lt;wsp:rsid wsp:val=&quot;008A60EB&quot;/&gt;&lt;wsp:rsid wsp:val=&quot;008A62C9&quot;/&gt;&lt;wsp:rsid wsp:val=&quot;008A63B3&quot;/&gt;&lt;wsp:rsid wsp:val=&quot;008A64FE&quot;/&gt;&lt;wsp:rsid wsp:val=&quot;008A6D4D&quot;/&gt;&lt;wsp:rsid wsp:val=&quot;008A6DFD&quot;/&gt;&lt;wsp:rsid wsp:val=&quot;008A7B1F&quot;/&gt;&lt;wsp:rsid wsp:val=&quot;008B05EF&quot;/&gt;&lt;wsp:rsid wsp:val=&quot;008B1006&quot;/&gt;&lt;wsp:rsid wsp:val=&quot;008B1C7B&quot;/&gt;&lt;wsp:rsid wsp:val=&quot;008B22AB&quot;/&gt;&lt;wsp:rsid wsp:val=&quot;008B2C3F&quot;/&gt;&lt;wsp:rsid wsp:val=&quot;008B2FCF&quot;/&gt;&lt;wsp:rsid wsp:val=&quot;008B32B7&quot;/&gt;&lt;wsp:rsid wsp:val=&quot;008B35FF&quot;/&gt;&lt;wsp:rsid wsp:val=&quot;008B36B3&quot;/&gt;&lt;wsp:rsid wsp:val=&quot;008B383A&quot;/&gt;&lt;wsp:rsid wsp:val=&quot;008B3CA4&quot;/&gt;&lt;wsp:rsid wsp:val=&quot;008B3F4C&quot;/&gt;&lt;wsp:rsid wsp:val=&quot;008B4EAC&quot;/&gt;&lt;wsp:rsid wsp:val=&quot;008B54A9&quot;/&gt;&lt;wsp:rsid wsp:val=&quot;008B5D1D&quot;/&gt;&lt;wsp:rsid wsp:val=&quot;008B62A0&quot;/&gt;&lt;wsp:rsid wsp:val=&quot;008B64BC&quot;/&gt;&lt;wsp:rsid wsp:val=&quot;008C0319&quot;/&gt;&lt;wsp:rsid wsp:val=&quot;008C0F03&quot;/&gt;&lt;wsp:rsid wsp:val=&quot;008C13C0&quot;/&gt;&lt;wsp:rsid wsp:val=&quot;008C142E&quot;/&gt;&lt;wsp:rsid wsp:val=&quot;008C1ED9&quot;/&gt;&lt;wsp:rsid wsp:val=&quot;008C2254&quot;/&gt;&lt;wsp:rsid wsp:val=&quot;008C335B&quot;/&gt;&lt;wsp:rsid wsp:val=&quot;008C339D&quot;/&gt;&lt;wsp:rsid wsp:val=&quot;008C372E&quot;/&gt;&lt;wsp:rsid wsp:val=&quot;008C3773&quot;/&gt;&lt;wsp:rsid wsp:val=&quot;008C3B19&quot;/&gt;&lt;wsp:rsid wsp:val=&quot;008C3E4F&quot;/&gt;&lt;wsp:rsid wsp:val=&quot;008C48EC&quot;/&gt;&lt;wsp:rsid wsp:val=&quot;008C4E60&quot;/&gt;&lt;wsp:rsid wsp:val=&quot;008C4F51&quot;/&gt;&lt;wsp:rsid wsp:val=&quot;008C501C&quot;/&gt;&lt;wsp:rsid wsp:val=&quot;008C5CA9&quot;/&gt;&lt;wsp:rsid wsp:val=&quot;008C6040&quot;/&gt;&lt;wsp:rsid wsp:val=&quot;008C61B3&quot;/&gt;&lt;wsp:rsid wsp:val=&quot;008C6324&quot;/&gt;&lt;wsp:rsid wsp:val=&quot;008C6C23&quot;/&gt;&lt;wsp:rsid wsp:val=&quot;008C78AB&quot;/&gt;&lt;wsp:rsid wsp:val=&quot;008C7AC0&quot;/&gt;&lt;wsp:rsid wsp:val=&quot;008C7DB3&quot;/&gt;&lt;wsp:rsid wsp:val=&quot;008D02B5&quot;/&gt;&lt;wsp:rsid wsp:val=&quot;008D0633&quot;/&gt;&lt;wsp:rsid wsp:val=&quot;008D1068&quot;/&gt;&lt;wsp:rsid wsp:val=&quot;008D1313&quot;/&gt;&lt;wsp:rsid wsp:val=&quot;008D1A8D&quot;/&gt;&lt;wsp:rsid wsp:val=&quot;008D1DEB&quot;/&gt;&lt;wsp:rsid wsp:val=&quot;008D20C8&quot;/&gt;&lt;wsp:rsid wsp:val=&quot;008D2A69&quot;/&gt;&lt;wsp:rsid wsp:val=&quot;008D38AF&quot;/&gt;&lt;wsp:rsid wsp:val=&quot;008D4449&quot;/&gt;&lt;wsp:rsid wsp:val=&quot;008D479E&quot;/&gt;&lt;wsp:rsid wsp:val=&quot;008D5E5E&quot;/&gt;&lt;wsp:rsid wsp:val=&quot;008D60F3&quot;/&gt;&lt;wsp:rsid wsp:val=&quot;008D7540&quot;/&gt;&lt;wsp:rsid wsp:val=&quot;008D7EE9&quot;/&gt;&lt;wsp:rsid wsp:val=&quot;008E13C7&quot;/&gt;&lt;wsp:rsid wsp:val=&quot;008E178F&quot;/&gt;&lt;wsp:rsid wsp:val=&quot;008E1928&quot;/&gt;&lt;wsp:rsid wsp:val=&quot;008E1A87&quot;/&gt;&lt;wsp:rsid wsp:val=&quot;008E1D0E&quot;/&gt;&lt;wsp:rsid wsp:val=&quot;008E224C&quot;/&gt;&lt;wsp:rsid wsp:val=&quot;008E2ADD&quot;/&gt;&lt;wsp:rsid wsp:val=&quot;008E2E8D&quot;/&gt;&lt;wsp:rsid wsp:val=&quot;008E3345&quot;/&gt;&lt;wsp:rsid wsp:val=&quot;008E411E&quot;/&gt;&lt;wsp:rsid wsp:val=&quot;008E48E4&quot;/&gt;&lt;wsp:rsid wsp:val=&quot;008E4A2B&quot;/&gt;&lt;wsp:rsid wsp:val=&quot;008E4DFB&quot;/&gt;&lt;wsp:rsid wsp:val=&quot;008E5CD1&quot;/&gt;&lt;wsp:rsid wsp:val=&quot;008E5D9D&quot;/&gt;&lt;wsp:rsid wsp:val=&quot;008E6005&quot;/&gt;&lt;wsp:rsid wsp:val=&quot;008E66A4&quot;/&gt;&lt;wsp:rsid wsp:val=&quot;008E6AFD&quot;/&gt;&lt;wsp:rsid wsp:val=&quot;008E6C6C&quot;/&gt;&lt;wsp:rsid wsp:val=&quot;008E75A7&quot;/&gt;&lt;wsp:rsid wsp:val=&quot;008E7B82&quot;/&gt;&lt;wsp:rsid wsp:val=&quot;008E7CF5&quot;/&gt;&lt;wsp:rsid wsp:val=&quot;008F03BB&quot;/&gt;&lt;wsp:rsid wsp:val=&quot;008F1220&quot;/&gt;&lt;wsp:rsid wsp:val=&quot;008F2009&quot;/&gt;&lt;wsp:rsid wsp:val=&quot;008F3B06&quot;/&gt;&lt;wsp:rsid wsp:val=&quot;008F4BFF&quot;/&gt;&lt;wsp:rsid wsp:val=&quot;008F5451&quot;/&gt;&lt;wsp:rsid wsp:val=&quot;008F55B7&quot;/&gt;&lt;wsp:rsid wsp:val=&quot;008F60BE&quot;/&gt;&lt;wsp:rsid wsp:val=&quot;008F610A&quot;/&gt;&lt;wsp:rsid wsp:val=&quot;008F635C&quot;/&gt;&lt;wsp:rsid wsp:val=&quot;008F657D&quot;/&gt;&lt;wsp:rsid wsp:val=&quot;008F663C&quot;/&gt;&lt;wsp:rsid wsp:val=&quot;008F706C&quot;/&gt;&lt;wsp:rsid wsp:val=&quot;008F7481&quot;/&gt;&lt;wsp:rsid wsp:val=&quot;008F769A&quot;/&gt;&lt;wsp:rsid wsp:val=&quot;008F7B3E&quot;/&gt;&lt;wsp:rsid wsp:val=&quot;008F7CF7&quot;/&gt;&lt;wsp:rsid wsp:val=&quot;00900D8C&quot;/&gt;&lt;wsp:rsid wsp:val=&quot;00900FD2&quot;/&gt;&lt;wsp:rsid wsp:val=&quot;0090190F&quot;/&gt;&lt;wsp:rsid wsp:val=&quot;00901B5F&quot;/&gt;&lt;wsp:rsid wsp:val=&quot;00902877&quot;/&gt;&lt;wsp:rsid wsp:val=&quot;00902B2F&quot;/&gt;&lt;wsp:rsid wsp:val=&quot;00903086&quot;/&gt;&lt;wsp:rsid wsp:val=&quot;00903189&quot;/&gt;&lt;wsp:rsid wsp:val=&quot;009046D1&quot;/&gt;&lt;wsp:rsid wsp:val=&quot;00905355&quot;/&gt;&lt;wsp:rsid wsp:val=&quot;00905E24&quot;/&gt;&lt;wsp:rsid wsp:val=&quot;00906815&quot;/&gt;&lt;wsp:rsid wsp:val=&quot;00906A91&quot;/&gt;&lt;wsp:rsid wsp:val=&quot;00910253&quot;/&gt;&lt;wsp:rsid wsp:val=&quot;00910791&quot;/&gt;&lt;wsp:rsid wsp:val=&quot;00911458&quot;/&gt;&lt;wsp:rsid wsp:val=&quot;00911B2F&quot;/&gt;&lt;wsp:rsid wsp:val=&quot;009126AC&quot;/&gt;&lt;wsp:rsid wsp:val=&quot;0091297B&quot;/&gt;&lt;wsp:rsid wsp:val=&quot;00912B8A&quot;/&gt;&lt;wsp:rsid wsp:val=&quot;00913725&quot;/&gt;&lt;wsp:rsid wsp:val=&quot;00913CD8&quot;/&gt;&lt;wsp:rsid wsp:val=&quot;009141AD&quot;/&gt;&lt;wsp:rsid wsp:val=&quot;00914231&quot;/&gt;&lt;wsp:rsid wsp:val=&quot;009143E5&quot;/&gt;&lt;wsp:rsid wsp:val=&quot;009146D6&quot;/&gt;&lt;wsp:rsid wsp:val=&quot;00915644&quot;/&gt;&lt;wsp:rsid wsp:val=&quot;00917BFC&quot;/&gt;&lt;wsp:rsid wsp:val=&quot;009212B4&quot;/&gt;&lt;wsp:rsid wsp:val=&quot;00921615&quot;/&gt;&lt;wsp:rsid wsp:val=&quot;00921C93&quot;/&gt;&lt;wsp:rsid wsp:val=&quot;00921D4C&quot;/&gt;&lt;wsp:rsid wsp:val=&quot;00922431&quot;/&gt;&lt;wsp:rsid wsp:val=&quot;00924F3A&quot;/&gt;&lt;wsp:rsid wsp:val=&quot;00925303&quot;/&gt;&lt;wsp:rsid wsp:val=&quot;00927615&quot;/&gt;&lt;wsp:rsid wsp:val=&quot;00927815&quot;/&gt;&lt;wsp:rsid wsp:val=&quot;00930127&quot;/&gt;&lt;wsp:rsid wsp:val=&quot;00930550&quot;/&gt;&lt;wsp:rsid wsp:val=&quot;00930D17&quot;/&gt;&lt;wsp:rsid wsp:val=&quot;009315A4&quot;/&gt;&lt;wsp:rsid wsp:val=&quot;00931771&quot;/&gt;&lt;wsp:rsid wsp:val=&quot;0093190F&quot;/&gt;&lt;wsp:rsid wsp:val=&quot;00931DD5&quot;/&gt;&lt;wsp:rsid wsp:val=&quot;00931E82&quot;/&gt;&lt;wsp:rsid wsp:val=&quot;009321E4&quot;/&gt;&lt;wsp:rsid wsp:val=&quot;009330E3&quot;/&gt;&lt;wsp:rsid wsp:val=&quot;009332D9&quot;/&gt;&lt;wsp:rsid wsp:val=&quot;0093392F&quot;/&gt;&lt;wsp:rsid wsp:val=&quot;00934385&quot;/&gt;&lt;wsp:rsid wsp:val=&quot;009343E1&quot;/&gt;&lt;wsp:rsid wsp:val=&quot;00934CBA&quot;/&gt;&lt;wsp:rsid wsp:val=&quot;0093545B&quot;/&gt;&lt;wsp:rsid wsp:val=&quot;00935AA4&quot;/&gt;&lt;wsp:rsid wsp:val=&quot;00936551&quot;/&gt;&lt;wsp:rsid wsp:val=&quot;00936C68&quot;/&gt;&lt;wsp:rsid wsp:val=&quot;00937DCC&quot;/&gt;&lt;wsp:rsid wsp:val=&quot;00940F7D&quot;/&gt;&lt;wsp:rsid wsp:val=&quot;0094181E&quot;/&gt;&lt;wsp:rsid wsp:val=&quot;00942074&quot;/&gt;&lt;wsp:rsid wsp:val=&quot;00942304&quot;/&gt;&lt;wsp:rsid wsp:val=&quot;00942D02&quot;/&gt;&lt;wsp:rsid wsp:val=&quot;009435CB&quot;/&gt;&lt;wsp:rsid wsp:val=&quot;00943908&quot;/&gt;&lt;wsp:rsid wsp:val=&quot;00944BC8&quot;/&gt;&lt;wsp:rsid wsp:val=&quot;009457DA&quot;/&gt;&lt;wsp:rsid wsp:val=&quot;00945BE9&quot;/&gt;&lt;wsp:rsid wsp:val=&quot;0094796C&quot;/&gt;&lt;wsp:rsid wsp:val=&quot;00947A5F&quot;/&gt;&lt;wsp:rsid wsp:val=&quot;00947FB4&quot;/&gt;&lt;wsp:rsid wsp:val=&quot;00950DF7&quot;/&gt;&lt;wsp:rsid wsp:val=&quot;0095133C&quot;/&gt;&lt;wsp:rsid wsp:val=&quot;0095151A&quot;/&gt;&lt;wsp:rsid wsp:val=&quot;0095154C&quot;/&gt;&lt;wsp:rsid wsp:val=&quot;009520B3&quot;/&gt;&lt;wsp:rsid wsp:val=&quot;009548B4&quot;/&gt;&lt;wsp:rsid wsp:val=&quot;00955744&quot;/&gt;&lt;wsp:rsid wsp:val=&quot;00955752&quot;/&gt;&lt;wsp:rsid wsp:val=&quot;009573CB&quot;/&gt;&lt;wsp:rsid wsp:val=&quot;00957741&quot;/&gt;&lt;wsp:rsid wsp:val=&quot;0096082E&quot;/&gt;&lt;wsp:rsid wsp:val=&quot;00960B5E&quot;/&gt;&lt;wsp:rsid wsp:val=&quot;00960EBA&quot;/&gt;&lt;wsp:rsid wsp:val=&quot;009612E5&quot;/&gt;&lt;wsp:rsid wsp:val=&quot;009622FB&quot;/&gt;&lt;wsp:rsid wsp:val=&quot;00962341&quot;/&gt;&lt;wsp:rsid wsp:val=&quot;00962536&quot;/&gt;&lt;wsp:rsid wsp:val=&quot;0096403B&quot;/&gt;&lt;wsp:rsid wsp:val=&quot;009645E4&quot;/&gt;&lt;wsp:rsid wsp:val=&quot;00964634&quot;/&gt;&lt;wsp:rsid wsp:val=&quot;00964F2A&quot;/&gt;&lt;wsp:rsid wsp:val=&quot;009652A7&quot;/&gt;&lt;wsp:rsid wsp:val=&quot;00965695&quot;/&gt;&lt;wsp:rsid wsp:val=&quot;009657CB&quot;/&gt;&lt;wsp:rsid wsp:val=&quot;0096657B&quot;/&gt;&lt;wsp:rsid wsp:val=&quot;00967157&quot;/&gt;&lt;wsp:rsid wsp:val=&quot;00967924&quot;/&gt;&lt;wsp:rsid wsp:val=&quot;009708FB&quot;/&gt;&lt;wsp:rsid wsp:val=&quot;00970DDD&quot;/&gt;&lt;wsp:rsid wsp:val=&quot;009713FC&quot;/&gt;&lt;wsp:rsid wsp:val=&quot;009714D8&quot;/&gt;&lt;wsp:rsid wsp:val=&quot;009742A9&quot;/&gt;&lt;wsp:rsid wsp:val=&quot;0097490A&quot;/&gt;&lt;wsp:rsid wsp:val=&quot;009754B0&quot;/&gt;&lt;wsp:rsid wsp:val=&quot;0097609B&quot;/&gt;&lt;wsp:rsid wsp:val=&quot;009763DB&quot;/&gt;&lt;wsp:rsid wsp:val=&quot;00976A47&quot;/&gt;&lt;wsp:rsid wsp:val=&quot;00980BFE&quot;/&gt;&lt;wsp:rsid wsp:val=&quot;00980CD5&quot;/&gt;&lt;wsp:rsid wsp:val=&quot;00981AED&quot;/&gt;&lt;wsp:rsid wsp:val=&quot;00981FDE&quot;/&gt;&lt;wsp:rsid wsp:val=&quot;00982D6F&quot;/&gt;&lt;wsp:rsid wsp:val=&quot;00983C09&quot;/&gt;&lt;wsp:rsid wsp:val=&quot;00983F55&quot;/&gt;&lt;wsp:rsid wsp:val=&quot;009848DE&quot;/&gt;&lt;wsp:rsid wsp:val=&quot;009854DA&quot;/&gt;&lt;wsp:rsid wsp:val=&quot;00986356&quot;/&gt;&lt;wsp:rsid wsp:val=&quot;00987295&quot;/&gt;&lt;wsp:rsid wsp:val=&quot;00987B16&quot;/&gt;&lt;wsp:rsid wsp:val=&quot;00990FAB&quot;/&gt;&lt;wsp:rsid wsp:val=&quot;009913C0&quot;/&gt;&lt;wsp:rsid wsp:val=&quot;0099186D&quot;/&gt;&lt;wsp:rsid wsp:val=&quot;00991C06&quot;/&gt;&lt;wsp:rsid wsp:val=&quot;00991C82&quot;/&gt;&lt;wsp:rsid wsp:val=&quot;00992522&quot;/&gt;&lt;wsp:rsid wsp:val=&quot;00992727&quot;/&gt;&lt;wsp:rsid wsp:val=&quot;009928CF&quot;/&gt;&lt;wsp:rsid wsp:val=&quot;00992AEC&quot;/&gt;&lt;wsp:rsid wsp:val=&quot;00993765&quot;/&gt;&lt;wsp:rsid wsp:val=&quot;009939F9&quot;/&gt;&lt;wsp:rsid wsp:val=&quot;00993BE7&quot;/&gt;&lt;wsp:rsid wsp:val=&quot;00995134&quot;/&gt;&lt;wsp:rsid wsp:val=&quot;009954BC&quot;/&gt;&lt;wsp:rsid wsp:val=&quot;00995F15&quot;/&gt;&lt;wsp:rsid wsp:val=&quot;00995F6C&quot;/&gt;&lt;wsp:rsid wsp:val=&quot;009978F6&quot;/&gt;&lt;wsp:rsid wsp:val=&quot;009A02C2&quot;/&gt;&lt;wsp:rsid wsp:val=&quot;009A12BE&quot;/&gt;&lt;wsp:rsid wsp:val=&quot;009A1408&quot;/&gt;&lt;wsp:rsid wsp:val=&quot;009A17B0&quot;/&gt;&lt;wsp:rsid wsp:val=&quot;009A18AE&quot;/&gt;&lt;wsp:rsid wsp:val=&quot;009A1D85&quot;/&gt;&lt;wsp:rsid wsp:val=&quot;009A1F56&quot;/&gt;&lt;wsp:rsid wsp:val=&quot;009A24CC&quot;/&gt;&lt;wsp:rsid wsp:val=&quot;009A3048&quot;/&gt;&lt;wsp:rsid wsp:val=&quot;009A3585&quot;/&gt;&lt;wsp:rsid wsp:val=&quot;009A3C11&quot;/&gt;&lt;wsp:rsid wsp:val=&quot;009A3D0C&quot;/&gt;&lt;wsp:rsid wsp:val=&quot;009A3D7A&quot;/&gt;&lt;wsp:rsid wsp:val=&quot;009A49C4&quot;/&gt;&lt;wsp:rsid wsp:val=&quot;009A5659&quot;/&gt;&lt;wsp:rsid wsp:val=&quot;009A6C89&quot;/&gt;&lt;wsp:rsid wsp:val=&quot;009B006F&quot;/&gt;&lt;wsp:rsid wsp:val=&quot;009B10FA&quot;/&gt;&lt;wsp:rsid wsp:val=&quot;009B112E&quot;/&gt;&lt;wsp:rsid wsp:val=&quot;009B13A0&quot;/&gt;&lt;wsp:rsid wsp:val=&quot;009B1A22&quot;/&gt;&lt;wsp:rsid wsp:val=&quot;009B1A7F&quot;/&gt;&lt;wsp:rsid wsp:val=&quot;009B1B89&quot;/&gt;&lt;wsp:rsid wsp:val=&quot;009B207A&quot;/&gt;&lt;wsp:rsid wsp:val=&quot;009B2F2D&quot;/&gt;&lt;wsp:rsid wsp:val=&quot;009B371C&quot;/&gt;&lt;wsp:rsid wsp:val=&quot;009B546E&quot;/&gt;&lt;wsp:rsid wsp:val=&quot;009B60B2&quot;/&gt;&lt;wsp:rsid wsp:val=&quot;009B62BE&quot;/&gt;&lt;wsp:rsid wsp:val=&quot;009B772D&quot;/&gt;&lt;wsp:rsid wsp:val=&quot;009C0E5F&quot;/&gt;&lt;wsp:rsid wsp:val=&quot;009C11BA&quot;/&gt;&lt;wsp:rsid wsp:val=&quot;009C2B2D&quot;/&gt;&lt;wsp:rsid wsp:val=&quot;009C43B6&quot;/&gt;&lt;wsp:rsid wsp:val=&quot;009C5103&quot;/&gt;&lt;wsp:rsid wsp:val=&quot;009C51C1&quot;/&gt;&lt;wsp:rsid wsp:val=&quot;009C56BD&quot;/&gt;&lt;wsp:rsid wsp:val=&quot;009C5BEA&quot;/&gt;&lt;wsp:rsid wsp:val=&quot;009C644E&quot;/&gt;&lt;wsp:rsid wsp:val=&quot;009C66A3&quot;/&gt;&lt;wsp:rsid wsp:val=&quot;009C68B5&quot;/&gt;&lt;wsp:rsid wsp:val=&quot;009C6C72&quot;/&gt;&lt;wsp:rsid wsp:val=&quot;009C7000&quot;/&gt;&lt;wsp:rsid wsp:val=&quot;009D0551&quot;/&gt;&lt;wsp:rsid wsp:val=&quot;009D1516&quot;/&gt;&lt;wsp:rsid wsp:val=&quot;009D1B6F&quot;/&gt;&lt;wsp:rsid wsp:val=&quot;009D2A0B&quot;/&gt;&lt;wsp:rsid wsp:val=&quot;009D2D0B&quot;/&gt;&lt;wsp:rsid wsp:val=&quot;009D3D24&quot;/&gt;&lt;wsp:rsid wsp:val=&quot;009D41AC&quot;/&gt;&lt;wsp:rsid wsp:val=&quot;009D47EA&quot;/&gt;&lt;wsp:rsid wsp:val=&quot;009D5381&quot;/&gt;&lt;wsp:rsid wsp:val=&quot;009D5A56&quot;/&gt;&lt;wsp:rsid wsp:val=&quot;009D6032&quot;/&gt;&lt;wsp:rsid wsp:val=&quot;009D690D&quot;/&gt;&lt;wsp:rsid wsp:val=&quot;009D7C5B&quot;/&gt;&lt;wsp:rsid wsp:val=&quot;009D7F7A&quot;/&gt;&lt;wsp:rsid wsp:val=&quot;009E0321&quot;/&gt;&lt;wsp:rsid wsp:val=&quot;009E1108&quot;/&gt;&lt;wsp:rsid wsp:val=&quot;009E15D7&quot;/&gt;&lt;wsp:rsid wsp:val=&quot;009E2546&quot;/&gt;&lt;wsp:rsid wsp:val=&quot;009E295A&quot;/&gt;&lt;wsp:rsid wsp:val=&quot;009E316B&quot;/&gt;&lt;wsp:rsid wsp:val=&quot;009E49EA&quot;/&gt;&lt;wsp:rsid wsp:val=&quot;009E5B3F&quot;/&gt;&lt;wsp:rsid wsp:val=&quot;009E649A&quot;/&gt;&lt;wsp:rsid wsp:val=&quot;009E6B6B&quot;/&gt;&lt;wsp:rsid wsp:val=&quot;009E73D9&quot;/&gt;&lt;wsp:rsid wsp:val=&quot;009E73E5&quot;/&gt;&lt;wsp:rsid wsp:val=&quot;009F01D8&quot;/&gt;&lt;wsp:rsid wsp:val=&quot;009F03E5&quot;/&gt;&lt;wsp:rsid wsp:val=&quot;009F120B&quot;/&gt;&lt;wsp:rsid wsp:val=&quot;009F1CC1&quot;/&gt;&lt;wsp:rsid wsp:val=&quot;009F374F&quot;/&gt;&lt;wsp:rsid wsp:val=&quot;009F3888&quot;/&gt;&lt;wsp:rsid wsp:val=&quot;009F3BFF&quot;/&gt;&lt;wsp:rsid wsp:val=&quot;009F45CD&quot;/&gt;&lt;wsp:rsid wsp:val=&quot;009F53BF&quot;/&gt;&lt;wsp:rsid wsp:val=&quot;009F53DA&quot;/&gt;&lt;wsp:rsid wsp:val=&quot;009F5ABA&quot;/&gt;&lt;wsp:rsid wsp:val=&quot;009F62A2&quot;/&gt;&lt;wsp:rsid wsp:val=&quot;009F69C8&quot;/&gt;&lt;wsp:rsid wsp:val=&quot;009F71C7&quot;/&gt;&lt;wsp:rsid wsp:val=&quot;009F77F2&quot;/&gt;&lt;wsp:rsid wsp:val=&quot;009F7E75&quot;/&gt;&lt;wsp:rsid wsp:val=&quot;00A01530&quot;/&gt;&lt;wsp:rsid wsp:val=&quot;00A0246D&quot;/&gt;&lt;wsp:rsid wsp:val=&quot;00A0263E&quot;/&gt;&lt;wsp:rsid wsp:val=&quot;00A02F9C&quot;/&gt;&lt;wsp:rsid wsp:val=&quot;00A0491C&quot;/&gt;&lt;wsp:rsid wsp:val=&quot;00A04E10&quot;/&gt;&lt;wsp:rsid wsp:val=&quot;00A0526B&quot;/&gt;&lt;wsp:rsid wsp:val=&quot;00A05DD5&quot;/&gt;&lt;wsp:rsid wsp:val=&quot;00A06A10&quot;/&gt;&lt;wsp:rsid wsp:val=&quot;00A07126&quot;/&gt;&lt;wsp:rsid wsp:val=&quot;00A0755C&quot;/&gt;&lt;wsp:rsid wsp:val=&quot;00A0792E&quot;/&gt;&lt;wsp:rsid wsp:val=&quot;00A07BBE&quot;/&gt;&lt;wsp:rsid wsp:val=&quot;00A104D4&quot;/&gt;&lt;wsp:rsid wsp:val=&quot;00A1065B&quot;/&gt;&lt;wsp:rsid wsp:val=&quot;00A11563&quot;/&gt;&lt;wsp:rsid wsp:val=&quot;00A1157B&quot;/&gt;&lt;wsp:rsid wsp:val=&quot;00A12FB2&quot;/&gt;&lt;wsp:rsid wsp:val=&quot;00A1368B&quot;/&gt;&lt;wsp:rsid wsp:val=&quot;00A14C3A&quot;/&gt;&lt;wsp:rsid wsp:val=&quot;00A14F45&quot;/&gt;&lt;wsp:rsid wsp:val=&quot;00A14F91&quot;/&gt;&lt;wsp:rsid wsp:val=&quot;00A160EC&quot;/&gt;&lt;wsp:rsid wsp:val=&quot;00A17074&quot;/&gt;&lt;wsp:rsid wsp:val=&quot;00A20823&quot;/&gt;&lt;wsp:rsid wsp:val=&quot;00A20DD8&quot;/&gt;&lt;wsp:rsid wsp:val=&quot;00A21130&quot;/&gt;&lt;wsp:rsid wsp:val=&quot;00A2150E&quot;/&gt;&lt;wsp:rsid wsp:val=&quot;00A21DD7&quot;/&gt;&lt;wsp:rsid wsp:val=&quot;00A2298E&quot;/&gt;&lt;wsp:rsid wsp:val=&quot;00A22AD7&quot;/&gt;&lt;wsp:rsid wsp:val=&quot;00A23126&quot;/&gt;&lt;wsp:rsid wsp:val=&quot;00A232D2&quot;/&gt;&lt;wsp:rsid wsp:val=&quot;00A23517&quot;/&gt;&lt;wsp:rsid wsp:val=&quot;00A23C19&quot;/&gt;&lt;wsp:rsid wsp:val=&quot;00A2403D&quot;/&gt;&lt;wsp:rsid wsp:val=&quot;00A24C09&quot;/&gt;&lt;wsp:rsid wsp:val=&quot;00A2503D&quot;/&gt;&lt;wsp:rsid wsp:val=&quot;00A2504A&quot;/&gt;&lt;wsp:rsid wsp:val=&quot;00A25199&quot;/&gt;&lt;wsp:rsid wsp:val=&quot;00A2528E&quot;/&gt;&lt;wsp:rsid wsp:val=&quot;00A263BF&quot;/&gt;&lt;wsp:rsid wsp:val=&quot;00A26CB4&quot;/&gt;&lt;wsp:rsid wsp:val=&quot;00A27C95&quot;/&gt;&lt;wsp:rsid wsp:val=&quot;00A30891&quot;/&gt;&lt;wsp:rsid wsp:val=&quot;00A30D37&quot;/&gt;&lt;wsp:rsid wsp:val=&quot;00A30F4B&quot;/&gt;&lt;wsp:rsid wsp:val=&quot;00A31558&quot;/&gt;&lt;wsp:rsid wsp:val=&quot;00A31DC1&quot;/&gt;&lt;wsp:rsid wsp:val=&quot;00A31E0D&quot;/&gt;&lt;wsp:rsid wsp:val=&quot;00A320BC&quot;/&gt;&lt;wsp:rsid wsp:val=&quot;00A323EF&quot;/&gt;&lt;wsp:rsid wsp:val=&quot;00A32DBD&quot;/&gt;&lt;wsp:rsid wsp:val=&quot;00A33387&quot;/&gt;&lt;wsp:rsid wsp:val=&quot;00A3399A&quot;/&gt;&lt;wsp:rsid wsp:val=&quot;00A33D2F&quot;/&gt;&lt;wsp:rsid wsp:val=&quot;00A34B0D&quot;/&gt;&lt;wsp:rsid wsp:val=&quot;00A364B0&quot;/&gt;&lt;wsp:rsid wsp:val=&quot;00A36974&quot;/&gt;&lt;wsp:rsid wsp:val=&quot;00A36CFF&quot;/&gt;&lt;wsp:rsid wsp:val=&quot;00A36E2B&quot;/&gt;&lt;wsp:rsid wsp:val=&quot;00A3722C&quot;/&gt;&lt;wsp:rsid wsp:val=&quot;00A3744C&quot;/&gt;&lt;wsp:rsid wsp:val=&quot;00A37E0D&quot;/&gt;&lt;wsp:rsid wsp:val=&quot;00A402E2&quot;/&gt;&lt;wsp:rsid wsp:val=&quot;00A40AEA&quot;/&gt;&lt;wsp:rsid wsp:val=&quot;00A40D24&quot;/&gt;&lt;wsp:rsid wsp:val=&quot;00A40FB9&quot;/&gt;&lt;wsp:rsid wsp:val=&quot;00A435D7&quot;/&gt;&lt;wsp:rsid wsp:val=&quot;00A43697&quot;/&gt;&lt;wsp:rsid wsp:val=&quot;00A43BAF&quot;/&gt;&lt;wsp:rsid wsp:val=&quot;00A45446&quot;/&gt;&lt;wsp:rsid wsp:val=&quot;00A46BB7&quot;/&gt;&lt;wsp:rsid wsp:val=&quot;00A5031D&quot;/&gt;&lt;wsp:rsid wsp:val=&quot;00A50405&quot;/&gt;&lt;wsp:rsid wsp:val=&quot;00A512E3&quot;/&gt;&lt;wsp:rsid wsp:val=&quot;00A51347&quot;/&gt;&lt;wsp:rsid wsp:val=&quot;00A51F70&quot;/&gt;&lt;wsp:rsid wsp:val=&quot;00A52905&quot;/&gt;&lt;wsp:rsid wsp:val=&quot;00A52E5C&quot;/&gt;&lt;wsp:rsid wsp:val=&quot;00A53B26&quot;/&gt;&lt;wsp:rsid wsp:val=&quot;00A542B6&quot;/&gt;&lt;wsp:rsid wsp:val=&quot;00A54413&quot;/&gt;&lt;wsp:rsid wsp:val=&quot;00A54987&quot;/&gt;&lt;wsp:rsid wsp:val=&quot;00A558DC&quot;/&gt;&lt;wsp:rsid wsp:val=&quot;00A55995&quot;/&gt;&lt;wsp:rsid wsp:val=&quot;00A55E58&quot;/&gt;&lt;wsp:rsid wsp:val=&quot;00A55E89&quot;/&gt;&lt;wsp:rsid wsp:val=&quot;00A608BD&quot;/&gt;&lt;wsp:rsid wsp:val=&quot;00A61E8E&quot;/&gt;&lt;wsp:rsid wsp:val=&quot;00A61F18&quot;/&gt;&lt;wsp:rsid wsp:val=&quot;00A62170&quot;/&gt;&lt;wsp:rsid wsp:val=&quot;00A625DE&quot;/&gt;&lt;wsp:rsid wsp:val=&quot;00A629E9&quot;/&gt;&lt;wsp:rsid wsp:val=&quot;00A62A2D&quot;/&gt;&lt;wsp:rsid wsp:val=&quot;00A63347&quot;/&gt;&lt;wsp:rsid wsp:val=&quot;00A638D1&quot;/&gt;&lt;wsp:rsid wsp:val=&quot;00A63B5C&quot;/&gt;&lt;wsp:rsid wsp:val=&quot;00A63BC4&quot;/&gt;&lt;wsp:rsid wsp:val=&quot;00A64B4A&quot;/&gt;&lt;wsp:rsid wsp:val=&quot;00A65415&quot;/&gt;&lt;wsp:rsid wsp:val=&quot;00A66850&quot;/&gt;&lt;wsp:rsid wsp:val=&quot;00A67363&quot;/&gt;&lt;wsp:rsid wsp:val=&quot;00A6786B&quot;/&gt;&lt;wsp:rsid wsp:val=&quot;00A70036&quot;/&gt;&lt;wsp:rsid wsp:val=&quot;00A70483&quot;/&gt;&lt;wsp:rsid wsp:val=&quot;00A70761&quot;/&gt;&lt;wsp:rsid wsp:val=&quot;00A70866&quot;/&gt;&lt;wsp:rsid wsp:val=&quot;00A70E10&quot;/&gt;&lt;wsp:rsid wsp:val=&quot;00A71262&quot;/&gt;&lt;wsp:rsid wsp:val=&quot;00A71349&quot;/&gt;&lt;wsp:rsid wsp:val=&quot;00A71EFB&quot;/&gt;&lt;wsp:rsid wsp:val=&quot;00A726CA&quot;/&gt;&lt;wsp:rsid wsp:val=&quot;00A727DB&quot;/&gt;&lt;wsp:rsid wsp:val=&quot;00A72802&quot;/&gt;&lt;wsp:rsid wsp:val=&quot;00A7474C&quot;/&gt;&lt;wsp:rsid wsp:val=&quot;00A74AD8&quot;/&gt;&lt;wsp:rsid wsp:val=&quot;00A74E5F&quot;/&gt;&lt;wsp:rsid wsp:val=&quot;00A753C3&quot;/&gt;&lt;wsp:rsid wsp:val=&quot;00A75806&quot;/&gt;&lt;wsp:rsid wsp:val=&quot;00A75DD0&quot;/&gt;&lt;wsp:rsid wsp:val=&quot;00A76E34&quot;/&gt;&lt;wsp:rsid wsp:val=&quot;00A77404&quot;/&gt;&lt;wsp:rsid wsp:val=&quot;00A775B8&quot;/&gt;&lt;wsp:rsid wsp:val=&quot;00A77682&quot;/&gt;&lt;wsp:rsid wsp:val=&quot;00A77BEC&quot;/&gt;&lt;wsp:rsid wsp:val=&quot;00A806E1&quot;/&gt;&lt;wsp:rsid wsp:val=&quot;00A81320&quot;/&gt;&lt;wsp:rsid wsp:val=&quot;00A82BA3&quot;/&gt;&lt;wsp:rsid wsp:val=&quot;00A83E14&quot;/&gt;&lt;wsp:rsid wsp:val=&quot;00A8440C&quot;/&gt;&lt;wsp:rsid wsp:val=&quot;00A85070&quot;/&gt;&lt;wsp:rsid wsp:val=&quot;00A850F3&quot;/&gt;&lt;wsp:rsid wsp:val=&quot;00A85341&quot;/&gt;&lt;wsp:rsid wsp:val=&quot;00A85367&quot;/&gt;&lt;wsp:rsid wsp:val=&quot;00A85A2F&quot;/&gt;&lt;wsp:rsid wsp:val=&quot;00A867C3&quot;/&gt;&lt;wsp:rsid wsp:val=&quot;00A868FD&quot;/&gt;&lt;wsp:rsid wsp:val=&quot;00A869DB&quot;/&gt;&lt;wsp:rsid wsp:val=&quot;00A872EC&quot;/&gt;&lt;wsp:rsid wsp:val=&quot;00A87BEA&quot;/&gt;&lt;wsp:rsid wsp:val=&quot;00A90EC5&quot;/&gt;&lt;wsp:rsid wsp:val=&quot;00A90EF8&quot;/&gt;&lt;wsp:rsid wsp:val=&quot;00A90FD1&quot;/&gt;&lt;wsp:rsid wsp:val=&quot;00A92C50&quot;/&gt;&lt;wsp:rsid wsp:val=&quot;00A93A94&quot;/&gt;&lt;wsp:rsid wsp:val=&quot;00A946B6&quot;/&gt;&lt;wsp:rsid wsp:val=&quot;00A9475C&quot;/&gt;&lt;wsp:rsid wsp:val=&quot;00A94D84&quot;/&gt;&lt;wsp:rsid wsp:val=&quot;00A95B8D&quot;/&gt;&lt;wsp:rsid wsp:val=&quot;00A965CC&quot;/&gt;&lt;wsp:rsid wsp:val=&quot;00A97435&quot;/&gt;&lt;wsp:rsid wsp:val=&quot;00A975B5&quot;/&gt;&lt;wsp:rsid wsp:val=&quot;00A9784F&quot;/&gt;&lt;wsp:rsid wsp:val=&quot;00A97EEF&quot;/&gt;&lt;wsp:rsid wsp:val=&quot;00AA00A0&quot;/&gt;&lt;wsp:rsid wsp:val=&quot;00AA0845&quot;/&gt;&lt;wsp:rsid wsp:val=&quot;00AA1F7C&quot;/&gt;&lt;wsp:rsid wsp:val=&quot;00AA2D68&quot;/&gt;&lt;wsp:rsid wsp:val=&quot;00AA30DB&quot;/&gt;&lt;wsp:rsid wsp:val=&quot;00AA396D&quot;/&gt;&lt;wsp:rsid wsp:val=&quot;00AA3B52&quot;/&gt;&lt;wsp:rsid wsp:val=&quot;00AA3F73&quot;/&gt;&lt;wsp:rsid wsp:val=&quot;00AA434E&quot;/&gt;&lt;wsp:rsid wsp:val=&quot;00AA5E1F&quot;/&gt;&lt;wsp:rsid wsp:val=&quot;00AA64A0&quot;/&gt;&lt;wsp:rsid wsp:val=&quot;00AA668D&quot;/&gt;&lt;wsp:rsid wsp:val=&quot;00AA7127&quot;/&gt;&lt;wsp:rsid wsp:val=&quot;00AA727A&quot;/&gt;&lt;wsp:rsid wsp:val=&quot;00AA73E7&quot;/&gt;&lt;wsp:rsid wsp:val=&quot;00AA76F4&quot;/&gt;&lt;wsp:rsid wsp:val=&quot;00AB0120&quot;/&gt;&lt;wsp:rsid wsp:val=&quot;00AB1275&quot;/&gt;&lt;wsp:rsid wsp:val=&quot;00AB2217&quot;/&gt;&lt;wsp:rsid wsp:val=&quot;00AB2337&quot;/&gt;&lt;wsp:rsid wsp:val=&quot;00AB2B1F&quot;/&gt;&lt;wsp:rsid wsp:val=&quot;00AB3EB9&quot;/&gt;&lt;wsp:rsid wsp:val=&quot;00AB4299&quot;/&gt;&lt;wsp:rsid wsp:val=&quot;00AB43EC&quot;/&gt;&lt;wsp:rsid wsp:val=&quot;00AB49FE&quot;/&gt;&lt;wsp:rsid wsp:val=&quot;00AB4DE4&quot;/&gt;&lt;wsp:rsid wsp:val=&quot;00AB59C9&quot;/&gt;&lt;wsp:rsid wsp:val=&quot;00AB66FE&quot;/&gt;&lt;wsp:rsid wsp:val=&quot;00AB6805&quot;/&gt;&lt;wsp:rsid wsp:val=&quot;00AB6D9B&quot;/&gt;&lt;wsp:rsid wsp:val=&quot;00AB6FA9&quot;/&gt;&lt;wsp:rsid wsp:val=&quot;00AB74C2&quot;/&gt;&lt;wsp:rsid wsp:val=&quot;00AC005D&quot;/&gt;&lt;wsp:rsid wsp:val=&quot;00AC0A9D&quot;/&gt;&lt;wsp:rsid wsp:val=&quot;00AC1571&quot;/&gt;&lt;wsp:rsid wsp:val=&quot;00AC1A26&quot;/&gt;&lt;wsp:rsid wsp:val=&quot;00AC1FD4&quot;/&gt;&lt;wsp:rsid wsp:val=&quot;00AC2175&quot;/&gt;&lt;wsp:rsid wsp:val=&quot;00AC36EB&quot;/&gt;&lt;wsp:rsid wsp:val=&quot;00AC38C2&quot;/&gt;&lt;wsp:rsid wsp:val=&quot;00AC3EC7&quot;/&gt;&lt;wsp:rsid wsp:val=&quot;00AC48A3&quot;/&gt;&lt;wsp:rsid wsp:val=&quot;00AC4B1E&quot;/&gt;&lt;wsp:rsid wsp:val=&quot;00AC5067&quot;/&gt;&lt;wsp:rsid wsp:val=&quot;00AC5331&quot;/&gt;&lt;wsp:rsid wsp:val=&quot;00AC5738&quot;/&gt;&lt;wsp:rsid wsp:val=&quot;00AC6328&quot;/&gt;&lt;wsp:rsid wsp:val=&quot;00AC6879&quot;/&gt;&lt;wsp:rsid wsp:val=&quot;00AC69E1&quot;/&gt;&lt;wsp:rsid wsp:val=&quot;00AC783A&quot;/&gt;&lt;wsp:rsid wsp:val=&quot;00AD17DB&quot;/&gt;&lt;wsp:rsid wsp:val=&quot;00AD3262&quot;/&gt;&lt;wsp:rsid wsp:val=&quot;00AD3439&quot;/&gt;&lt;wsp:rsid wsp:val=&quot;00AD3667&quot;/&gt;&lt;wsp:rsid wsp:val=&quot;00AD46EF&quot;/&gt;&lt;wsp:rsid wsp:val=&quot;00AD4B5C&quot;/&gt;&lt;wsp:rsid wsp:val=&quot;00AD5857&quot;/&gt;&lt;wsp:rsid wsp:val=&quot;00AD5894&quot;/&gt;&lt;wsp:rsid wsp:val=&quot;00AD59F4&quot;/&gt;&lt;wsp:rsid wsp:val=&quot;00AD5CFB&quot;/&gt;&lt;wsp:rsid wsp:val=&quot;00AD616B&quot;/&gt;&lt;wsp:rsid wsp:val=&quot;00AD669D&quot;/&gt;&lt;wsp:rsid wsp:val=&quot;00AD6C41&quot;/&gt;&lt;wsp:rsid wsp:val=&quot;00AD6F91&quot;/&gt;&lt;wsp:rsid wsp:val=&quot;00AD75C7&quot;/&gt;&lt;wsp:rsid wsp:val=&quot;00AD78AF&quot;/&gt;&lt;wsp:rsid wsp:val=&quot;00AE1B84&quot;/&gt;&lt;wsp:rsid wsp:val=&quot;00AE1C74&quot;/&gt;&lt;wsp:rsid wsp:val=&quot;00AE1E1C&quot;/&gt;&lt;wsp:rsid wsp:val=&quot;00AE268F&quot;/&gt;&lt;wsp:rsid wsp:val=&quot;00AE28E1&quot;/&gt;&lt;wsp:rsid wsp:val=&quot;00AE3366&quot;/&gt;&lt;wsp:rsid wsp:val=&quot;00AE5D93&quot;/&gt;&lt;wsp:rsid wsp:val=&quot;00AE64D3&quot;/&gt;&lt;wsp:rsid wsp:val=&quot;00AF297C&quot;/&gt;&lt;wsp:rsid wsp:val=&quot;00AF4213&quot;/&gt;&lt;wsp:rsid wsp:val=&quot;00AF443F&quot;/&gt;&lt;wsp:rsid wsp:val=&quot;00AF4496&quot;/&gt;&lt;wsp:rsid wsp:val=&quot;00AF4C78&quot;/&gt;&lt;wsp:rsid wsp:val=&quot;00AF5058&quot;/&gt;&lt;wsp:rsid wsp:val=&quot;00AF5359&quot;/&gt;&lt;wsp:rsid wsp:val=&quot;00AF5C9E&quot;/&gt;&lt;wsp:rsid wsp:val=&quot;00AF5F37&quot;/&gt;&lt;wsp:rsid wsp:val=&quot;00AF747A&quot;/&gt;&lt;wsp:rsid wsp:val=&quot;00AF7B58&quot;/&gt;&lt;wsp:rsid wsp:val=&quot;00B0085A&quot;/&gt;&lt;wsp:rsid wsp:val=&quot;00B0212E&quot;/&gt;&lt;wsp:rsid wsp:val=&quot;00B02574&quot;/&gt;&lt;wsp:rsid wsp:val=&quot;00B03308&quot;/&gt;&lt;wsp:rsid wsp:val=&quot;00B046CE&quot;/&gt;&lt;wsp:rsid wsp:val=&quot;00B047AC&quot;/&gt;&lt;wsp:rsid wsp:val=&quot;00B05FCB&quot;/&gt;&lt;wsp:rsid wsp:val=&quot;00B06873&quot;/&gt;&lt;wsp:rsid wsp:val=&quot;00B06D10&quot;/&gt;&lt;wsp:rsid wsp:val=&quot;00B07220&quot;/&gt;&lt;wsp:rsid wsp:val=&quot;00B074C6&quot;/&gt;&lt;wsp:rsid wsp:val=&quot;00B07EE7&quot;/&gt;&lt;wsp:rsid wsp:val=&quot;00B108C8&quot;/&gt;&lt;wsp:rsid wsp:val=&quot;00B10B6F&quot;/&gt;&lt;wsp:rsid wsp:val=&quot;00B113A2&quot;/&gt;&lt;wsp:rsid wsp:val=&quot;00B11594&quot;/&gt;&lt;wsp:rsid wsp:val=&quot;00B1185B&quot;/&gt;&lt;wsp:rsid wsp:val=&quot;00B11870&quot;/&gt;&lt;wsp:rsid wsp:val=&quot;00B12C58&quot;/&gt;&lt;wsp:rsid wsp:val=&quot;00B131F2&quot;/&gt;&lt;wsp:rsid wsp:val=&quot;00B1384B&quot;/&gt;&lt;wsp:rsid wsp:val=&quot;00B13E73&quot;/&gt;&lt;wsp:rsid wsp:val=&quot;00B141E0&quot;/&gt;&lt;wsp:rsid wsp:val=&quot;00B149D4&quot;/&gt;&lt;wsp:rsid wsp:val=&quot;00B16277&quot;/&gt;&lt;wsp:rsid wsp:val=&quot;00B162AD&quot;/&gt;&lt;wsp:rsid wsp:val=&quot;00B1671D&quot;/&gt;&lt;wsp:rsid wsp:val=&quot;00B16733&quot;/&gt;&lt;wsp:rsid wsp:val=&quot;00B16B08&quot;/&gt;&lt;wsp:rsid wsp:val=&quot;00B16F75&quot;/&gt;&lt;wsp:rsid wsp:val=&quot;00B16FBE&quot;/&gt;&lt;wsp:rsid wsp:val=&quot;00B17ABC&quot;/&gt;&lt;wsp:rsid wsp:val=&quot;00B20020&quot;/&gt;&lt;wsp:rsid wsp:val=&quot;00B2089F&quot;/&gt;&lt;wsp:rsid wsp:val=&quot;00B20974&quot;/&gt;&lt;wsp:rsid wsp:val=&quot;00B20DA2&quot;/&gt;&lt;wsp:rsid wsp:val=&quot;00B21002&quot;/&gt;&lt;wsp:rsid wsp:val=&quot;00B21950&quot;/&gt;&lt;wsp:rsid wsp:val=&quot;00B21973&quot;/&gt;&lt;wsp:rsid wsp:val=&quot;00B2242C&quot;/&gt;&lt;wsp:rsid wsp:val=&quot;00B22909&quot;/&gt;&lt;wsp:rsid wsp:val=&quot;00B22A56&quot;/&gt;&lt;wsp:rsid wsp:val=&quot;00B2324A&quot;/&gt;&lt;wsp:rsid wsp:val=&quot;00B239DC&quot;/&gt;&lt;wsp:rsid wsp:val=&quot;00B24835&quot;/&gt;&lt;wsp:rsid wsp:val=&quot;00B24B1B&quot;/&gt;&lt;wsp:rsid wsp:val=&quot;00B24BB6&quot;/&gt;&lt;wsp:rsid wsp:val=&quot;00B25770&quot;/&gt;&lt;wsp:rsid wsp:val=&quot;00B25F95&quot;/&gt;&lt;wsp:rsid wsp:val=&quot;00B2651B&quot;/&gt;&lt;wsp:rsid wsp:val=&quot;00B27359&quot;/&gt;&lt;wsp:rsid wsp:val=&quot;00B27AFA&quot;/&gt;&lt;wsp:rsid wsp:val=&quot;00B30CBC&quot;/&gt;&lt;wsp:rsid wsp:val=&quot;00B31E96&quot;/&gt;&lt;wsp:rsid wsp:val=&quot;00B324C4&quot;/&gt;&lt;wsp:rsid wsp:val=&quot;00B327B9&quot;/&gt;&lt;wsp:rsid wsp:val=&quot;00B32F28&quot;/&gt;&lt;wsp:rsid wsp:val=&quot;00B3306D&quot;/&gt;&lt;wsp:rsid wsp:val=&quot;00B33566&quot;/&gt;&lt;wsp:rsid wsp:val=&quot;00B341D8&quot;/&gt;&lt;wsp:rsid wsp:val=&quot;00B34417&quot;/&gt;&lt;wsp:rsid wsp:val=&quot;00B345CA&quot;/&gt;&lt;wsp:rsid wsp:val=&quot;00B34638&quot;/&gt;&lt;wsp:rsid wsp:val=&quot;00B346C5&quot;/&gt;&lt;wsp:rsid wsp:val=&quot;00B3470E&quot;/&gt;&lt;wsp:rsid wsp:val=&quot;00B35878&quot;/&gt;&lt;wsp:rsid wsp:val=&quot;00B369F0&quot;/&gt;&lt;wsp:rsid wsp:val=&quot;00B37BB4&quot;/&gt;&lt;wsp:rsid wsp:val=&quot;00B37D54&quot;/&gt;&lt;wsp:rsid wsp:val=&quot;00B40366&quot;/&gt;&lt;wsp:rsid wsp:val=&quot;00B40724&quot;/&gt;&lt;wsp:rsid wsp:val=&quot;00B41E7F&quot;/&gt;&lt;wsp:rsid wsp:val=&quot;00B42216&quot;/&gt;&lt;wsp:rsid wsp:val=&quot;00B43DB6&quot;/&gt;&lt;wsp:rsid wsp:val=&quot;00B4413F&quot;/&gt;&lt;wsp:rsid wsp:val=&quot;00B4415F&quot;/&gt;&lt;wsp:rsid wsp:val=&quot;00B44612&quot;/&gt;&lt;wsp:rsid wsp:val=&quot;00B446D3&quot;/&gt;&lt;wsp:rsid wsp:val=&quot;00B45233&quot;/&gt;&lt;wsp:rsid wsp:val=&quot;00B45F57&quot;/&gt;&lt;wsp:rsid wsp:val=&quot;00B46FB0&quot;/&gt;&lt;wsp:rsid wsp:val=&quot;00B471EA&quot;/&gt;&lt;wsp:rsid wsp:val=&quot;00B477EF&quot;/&gt;&lt;wsp:rsid wsp:val=&quot;00B47E3C&quot;/&gt;&lt;wsp:rsid wsp:val=&quot;00B502C8&quot;/&gt;&lt;wsp:rsid wsp:val=&quot;00B5042B&quot;/&gt;&lt;wsp:rsid wsp:val=&quot;00B50591&quot;/&gt;&lt;wsp:rsid wsp:val=&quot;00B5077D&quot;/&gt;&lt;wsp:rsid wsp:val=&quot;00B51B82&quot;/&gt;&lt;wsp:rsid wsp:val=&quot;00B51B9A&quot;/&gt;&lt;wsp:rsid wsp:val=&quot;00B51D8F&quot;/&gt;&lt;wsp:rsid wsp:val=&quot;00B52643&quot;/&gt;&lt;wsp:rsid wsp:val=&quot;00B537AA&quot;/&gt;&lt;wsp:rsid wsp:val=&quot;00B53BE5&quot;/&gt;&lt;wsp:rsid wsp:val=&quot;00B55535&quot;/&gt;&lt;wsp:rsid wsp:val=&quot;00B55D77&quot;/&gt;&lt;wsp:rsid wsp:val=&quot;00B5612B&quot;/&gt;&lt;wsp:rsid wsp:val=&quot;00B56838&quot;/&gt;&lt;wsp:rsid wsp:val=&quot;00B57463&quot;/&gt;&lt;wsp:rsid wsp:val=&quot;00B574D9&quot;/&gt;&lt;wsp:rsid wsp:val=&quot;00B60872&quot;/&gt;&lt;wsp:rsid wsp:val=&quot;00B60996&quot;/&gt;&lt;wsp:rsid wsp:val=&quot;00B612A1&quot;/&gt;&lt;wsp:rsid wsp:val=&quot;00B62C01&quot;/&gt;&lt;wsp:rsid wsp:val=&quot;00B63609&quot;/&gt;&lt;wsp:rsid wsp:val=&quot;00B642CF&quot;/&gt;&lt;wsp:rsid wsp:val=&quot;00B65844&quot;/&gt;&lt;wsp:rsid wsp:val=&quot;00B65B9C&quot;/&gt;&lt;wsp:rsid wsp:val=&quot;00B6707C&quot;/&gt;&lt;wsp:rsid wsp:val=&quot;00B67791&quot;/&gt;&lt;wsp:rsid wsp:val=&quot;00B67A73&quot;/&gt;&lt;wsp:rsid wsp:val=&quot;00B706FA&quot;/&gt;&lt;wsp:rsid wsp:val=&quot;00B70CD5&quot;/&gt;&lt;wsp:rsid wsp:val=&quot;00B71AEC&quot;/&gt;&lt;wsp:rsid wsp:val=&quot;00B71F71&quot;/&gt;&lt;wsp:rsid wsp:val=&quot;00B721F8&quot;/&gt;&lt;wsp:rsid wsp:val=&quot;00B722FC&quot;/&gt;&lt;wsp:rsid wsp:val=&quot;00B72517&quot;/&gt;&lt;wsp:rsid wsp:val=&quot;00B72591&quot;/&gt;&lt;wsp:rsid wsp:val=&quot;00B72761&quot;/&gt;&lt;wsp:rsid wsp:val=&quot;00B73B05&quot;/&gt;&lt;wsp:rsid wsp:val=&quot;00B74008&quot;/&gt;&lt;wsp:rsid wsp:val=&quot;00B740FA&quot;/&gt;&lt;wsp:rsid wsp:val=&quot;00B74E34&quot;/&gt;&lt;wsp:rsid wsp:val=&quot;00B754E7&quot;/&gt;&lt;wsp:rsid wsp:val=&quot;00B76A4D&quot;/&gt;&lt;wsp:rsid wsp:val=&quot;00B77574&quot;/&gt;&lt;wsp:rsid wsp:val=&quot;00B775F1&quot;/&gt;&lt;wsp:rsid wsp:val=&quot;00B77F9A&quot;/&gt;&lt;wsp:rsid wsp:val=&quot;00B80000&quot;/&gt;&lt;wsp:rsid wsp:val=&quot;00B802CD&quot;/&gt;&lt;wsp:rsid wsp:val=&quot;00B803CA&quot;/&gt;&lt;wsp:rsid wsp:val=&quot;00B814CD&quot;/&gt;&lt;wsp:rsid wsp:val=&quot;00B81E3D&quot;/&gt;&lt;wsp:rsid wsp:val=&quot;00B836C7&quot;/&gt;&lt;wsp:rsid wsp:val=&quot;00B8381B&quot;/&gt;&lt;wsp:rsid wsp:val=&quot;00B83A63&quot;/&gt;&lt;wsp:rsid wsp:val=&quot;00B83D1B&quot;/&gt;&lt;wsp:rsid wsp:val=&quot;00B83F03&quot;/&gt;&lt;wsp:rsid wsp:val=&quot;00B84439&quot;/&gt;&lt;wsp:rsid wsp:val=&quot;00B84E8E&quot;/&gt;&lt;wsp:rsid wsp:val=&quot;00B85E72&quot;/&gt;&lt;wsp:rsid wsp:val=&quot;00B85EC0&quot;/&gt;&lt;wsp:rsid wsp:val=&quot;00B861F5&quot;/&gt;&lt;wsp:rsid wsp:val=&quot;00B8689A&quot;/&gt;&lt;wsp:rsid wsp:val=&quot;00B86E55&quot;/&gt;&lt;wsp:rsid wsp:val=&quot;00B87DF0&quot;/&gt;&lt;wsp:rsid wsp:val=&quot;00B901F8&quot;/&gt;&lt;wsp:rsid wsp:val=&quot;00B92167&quot;/&gt;&lt;wsp:rsid wsp:val=&quot;00B92346&quot;/&gt;&lt;wsp:rsid wsp:val=&quot;00B92687&quot;/&gt;&lt;wsp:rsid wsp:val=&quot;00B92E71&quot;/&gt;&lt;wsp:rsid wsp:val=&quot;00B92F12&quot;/&gt;&lt;wsp:rsid wsp:val=&quot;00B93235&quot;/&gt;&lt;wsp:rsid wsp:val=&quot;00B936E0&quot;/&gt;&lt;wsp:rsid wsp:val=&quot;00B94C7B&quot;/&gt;&lt;wsp:rsid wsp:val=&quot;00B952B1&quot;/&gt;&lt;wsp:rsid wsp:val=&quot;00B95442&quot;/&gt;&lt;wsp:rsid wsp:val=&quot;00B95BA5&quot;/&gt;&lt;wsp:rsid wsp:val=&quot;00B95EB1&quot;/&gt;&lt;wsp:rsid wsp:val=&quot;00B9619A&quot;/&gt;&lt;wsp:rsid wsp:val=&quot;00B968B3&quot;/&gt;&lt;wsp:rsid wsp:val=&quot;00B972C9&quot;/&gt;&lt;wsp:rsid wsp:val=&quot;00B973E1&quot;/&gt;&lt;wsp:rsid wsp:val=&quot;00B97F52&quot;/&gt;&lt;wsp:rsid wsp:val=&quot;00BA0F53&quot;/&gt;&lt;wsp:rsid wsp:val=&quot;00BA14CD&quot;/&gt;&lt;wsp:rsid wsp:val=&quot;00BA212B&quot;/&gt;&lt;wsp:rsid wsp:val=&quot;00BA2638&quot;/&gt;&lt;wsp:rsid wsp:val=&quot;00BA27D5&quot;/&gt;&lt;wsp:rsid wsp:val=&quot;00BA404E&quot;/&gt;&lt;wsp:rsid wsp:val=&quot;00BA42FE&quot;/&gt;&lt;wsp:rsid wsp:val=&quot;00BA4A13&quot;/&gt;&lt;wsp:rsid wsp:val=&quot;00BA4E4B&quot;/&gt;&lt;wsp:rsid wsp:val=&quot;00BA4FFF&quot;/&gt;&lt;wsp:rsid wsp:val=&quot;00BA55DF&quot;/&gt;&lt;wsp:rsid wsp:val=&quot;00BA5AB6&quot;/&gt;&lt;wsp:rsid wsp:val=&quot;00BA5DA8&quot;/&gt;&lt;wsp:rsid wsp:val=&quot;00BA61DE&quot;/&gt;&lt;wsp:rsid wsp:val=&quot;00BA7B69&quot;/&gt;&lt;wsp:rsid wsp:val=&quot;00BB0427&quot;/&gt;&lt;wsp:rsid wsp:val=&quot;00BB0C29&quot;/&gt;&lt;wsp:rsid wsp:val=&quot;00BB20B5&quot;/&gt;&lt;wsp:rsid wsp:val=&quot;00BB2951&quot;/&gt;&lt;wsp:rsid wsp:val=&quot;00BB2DF2&quot;/&gt;&lt;wsp:rsid wsp:val=&quot;00BB33BF&quot;/&gt;&lt;wsp:rsid wsp:val=&quot;00BB3522&quot;/&gt;&lt;wsp:rsid wsp:val=&quot;00BB360C&quot;/&gt;&lt;wsp:rsid wsp:val=&quot;00BB4239&quot;/&gt;&lt;wsp:rsid wsp:val=&quot;00BB429E&quot;/&gt;&lt;wsp:rsid wsp:val=&quot;00BB53D1&quot;/&gt;&lt;wsp:rsid wsp:val=&quot;00BB634A&quot;/&gt;&lt;wsp:rsid wsp:val=&quot;00BB6E5D&quot;/&gt;&lt;wsp:rsid wsp:val=&quot;00BB707A&quot;/&gt;&lt;wsp:rsid wsp:val=&quot;00BB730E&quot;/&gt;&lt;wsp:rsid wsp:val=&quot;00BB7BE5&quot;/&gt;&lt;wsp:rsid wsp:val=&quot;00BC0011&quot;/&gt;&lt;wsp:rsid wsp:val=&quot;00BC0751&quot;/&gt;&lt;wsp:rsid wsp:val=&quot;00BC0F40&quot;/&gt;&lt;wsp:rsid wsp:val=&quot;00BC10FE&quot;/&gt;&lt;wsp:rsid wsp:val=&quot;00BC17EF&quot;/&gt;&lt;wsp:rsid wsp:val=&quot;00BC2912&quot;/&gt;&lt;wsp:rsid wsp:val=&quot;00BC2A75&quot;/&gt;&lt;wsp:rsid wsp:val=&quot;00BC32C2&quot;/&gt;&lt;wsp:rsid wsp:val=&quot;00BC37DB&quot;/&gt;&lt;wsp:rsid wsp:val=&quot;00BC42BF&quot;/&gt;&lt;wsp:rsid wsp:val=&quot;00BC45CA&quot;/&gt;&lt;wsp:rsid wsp:val=&quot;00BC476E&quot;/&gt;&lt;wsp:rsid wsp:val=&quot;00BC493D&quot;/&gt;&lt;wsp:rsid wsp:val=&quot;00BC5506&quot;/&gt;&lt;wsp:rsid wsp:val=&quot;00BC5C18&quot;/&gt;&lt;wsp:rsid wsp:val=&quot;00BC61DB&quot;/&gt;&lt;wsp:rsid wsp:val=&quot;00BC68E6&quot;/&gt;&lt;wsp:rsid wsp:val=&quot;00BC6958&quot;/&gt;&lt;wsp:rsid wsp:val=&quot;00BC6B84&quot;/&gt;&lt;wsp:rsid wsp:val=&quot;00BD0CD1&quot;/&gt;&lt;wsp:rsid wsp:val=&quot;00BD198F&quot;/&gt;&lt;wsp:rsid wsp:val=&quot;00BD2340&quot;/&gt;&lt;wsp:rsid wsp:val=&quot;00BD2872&quot;/&gt;&lt;wsp:rsid wsp:val=&quot;00BD2C58&quot;/&gt;&lt;wsp:rsid wsp:val=&quot;00BD2D77&quot;/&gt;&lt;wsp:rsid wsp:val=&quot;00BD2E1C&quot;/&gt;&lt;wsp:rsid wsp:val=&quot;00BD416E&quot;/&gt;&lt;wsp:rsid wsp:val=&quot;00BD46F7&quot;/&gt;&lt;wsp:rsid wsp:val=&quot;00BD5D2D&quot;/&gt;&lt;wsp:rsid wsp:val=&quot;00BD74D8&quot;/&gt;&lt;wsp:rsid wsp:val=&quot;00BD794D&quot;/&gt;&lt;wsp:rsid wsp:val=&quot;00BD7C04&quot;/&gt;&lt;wsp:rsid wsp:val=&quot;00BE04DE&quot;/&gt;&lt;wsp:rsid wsp:val=&quot;00BE1124&quot;/&gt;&lt;wsp:rsid wsp:val=&quot;00BE12EB&quot;/&gt;&lt;wsp:rsid wsp:val=&quot;00BE2E31&quot;/&gt;&lt;wsp:rsid wsp:val=&quot;00BE2EA7&quot;/&gt;&lt;wsp:rsid wsp:val=&quot;00BE46E8&quot;/&gt;&lt;wsp:rsid wsp:val=&quot;00BE49C3&quot;/&gt;&lt;wsp:rsid wsp:val=&quot;00BE49DD&quot;/&gt;&lt;wsp:rsid wsp:val=&quot;00BE62A1&quot;/&gt;&lt;wsp:rsid wsp:val=&quot;00BE69D4&quot;/&gt;&lt;wsp:rsid wsp:val=&quot;00BE7091&quot;/&gt;&lt;wsp:rsid wsp:val=&quot;00BE715A&quot;/&gt;&lt;wsp:rsid wsp:val=&quot;00BE734D&quot;/&gt;&lt;wsp:rsid wsp:val=&quot;00BE74CD&quot;/&gt;&lt;wsp:rsid wsp:val=&quot;00BE7AC4&quot;/&gt;&lt;wsp:rsid wsp:val=&quot;00BE7F99&quot;/&gt;&lt;wsp:rsid wsp:val=&quot;00BF00B7&quot;/&gt;&lt;wsp:rsid wsp:val=&quot;00BF0552&quot;/&gt;&lt;wsp:rsid wsp:val=&quot;00BF0BB1&quot;/&gt;&lt;wsp:rsid wsp:val=&quot;00BF0D32&quot;/&gt;&lt;wsp:rsid wsp:val=&quot;00BF146D&quot;/&gt;&lt;wsp:rsid wsp:val=&quot;00BF2F7C&quot;/&gt;&lt;wsp:rsid wsp:val=&quot;00BF36E2&quot;/&gt;&lt;wsp:rsid wsp:val=&quot;00BF3ED3&quot;/&gt;&lt;wsp:rsid wsp:val=&quot;00BF48A6&quot;/&gt;&lt;wsp:rsid wsp:val=&quot;00BF48CB&quot;/&gt;&lt;wsp:rsid wsp:val=&quot;00BF4B4C&quot;/&gt;&lt;wsp:rsid wsp:val=&quot;00BF5410&quot;/&gt;&lt;wsp:rsid wsp:val=&quot;00BF5521&quot;/&gt;&lt;wsp:rsid wsp:val=&quot;00BF5A0E&quot;/&gt;&lt;wsp:rsid wsp:val=&quot;00C01152&quot;/&gt;&lt;wsp:rsid wsp:val=&quot;00C02345&quot;/&gt;&lt;wsp:rsid wsp:val=&quot;00C0277C&quot;/&gt;&lt;wsp:rsid wsp:val=&quot;00C03747&quot;/&gt;&lt;wsp:rsid wsp:val=&quot;00C03F96&quot;/&gt;&lt;wsp:rsid wsp:val=&quot;00C0471F&quot;/&gt;&lt;wsp:rsid wsp:val=&quot;00C04D10&quot;/&gt;&lt;wsp:rsid wsp:val=&quot;00C04F48&quot;/&gt;&lt;wsp:rsid wsp:val=&quot;00C06E68&quot;/&gt;&lt;wsp:rsid wsp:val=&quot;00C079BA&quot;/&gt;&lt;wsp:rsid wsp:val=&quot;00C07D0A&quot;/&gt;&lt;wsp:rsid wsp:val=&quot;00C07D3A&quot;/&gt;&lt;wsp:rsid wsp:val=&quot;00C11E51&quot;/&gt;&lt;wsp:rsid wsp:val=&quot;00C12F87&quot;/&gt;&lt;wsp:rsid wsp:val=&quot;00C12FF1&quot;/&gt;&lt;wsp:rsid wsp:val=&quot;00C150FE&quot;/&gt;&lt;wsp:rsid wsp:val=&quot;00C156C0&quot;/&gt;&lt;wsp:rsid wsp:val=&quot;00C15C4E&quot;/&gt;&lt;wsp:rsid wsp:val=&quot;00C17741&quot;/&gt;&lt;wsp:rsid wsp:val=&quot;00C17BA6&quot;/&gt;&lt;wsp:rsid wsp:val=&quot;00C2097D&quot;/&gt;&lt;wsp:rsid wsp:val=&quot;00C21368&quot;/&gt;&lt;wsp:rsid wsp:val=&quot;00C21498&quot;/&gt;&lt;wsp:rsid wsp:val=&quot;00C21EC4&quot;/&gt;&lt;wsp:rsid wsp:val=&quot;00C21EDD&quot;/&gt;&lt;wsp:rsid wsp:val=&quot;00C22317&quot;/&gt;&lt;wsp:rsid wsp:val=&quot;00C22881&quot;/&gt;&lt;wsp:rsid wsp:val=&quot;00C22BB5&quot;/&gt;&lt;wsp:rsid wsp:val=&quot;00C2481F&quot;/&gt;&lt;wsp:rsid wsp:val=&quot;00C25715&quot;/&gt;&lt;wsp:rsid wsp:val=&quot;00C26027&quot;/&gt;&lt;wsp:rsid wsp:val=&quot;00C270ED&quot;/&gt;&lt;wsp:rsid wsp:val=&quot;00C277BA&quot;/&gt;&lt;wsp:rsid wsp:val=&quot;00C30056&quot;/&gt;&lt;wsp:rsid wsp:val=&quot;00C308C0&quot;/&gt;&lt;wsp:rsid wsp:val=&quot;00C30CF4&quot;/&gt;&lt;wsp:rsid wsp:val=&quot;00C31A5A&quot;/&gt;&lt;wsp:rsid wsp:val=&quot;00C31AC0&quot;/&gt;&lt;wsp:rsid wsp:val=&quot;00C32913&quot;/&gt;&lt;wsp:rsid wsp:val=&quot;00C33744&quot;/&gt;&lt;wsp:rsid wsp:val=&quot;00C342C7&quot;/&gt;&lt;wsp:rsid wsp:val=&quot;00C34989&quot;/&gt;&lt;wsp:rsid wsp:val=&quot;00C35362&quot;/&gt;&lt;wsp:rsid wsp:val=&quot;00C35C11&quot;/&gt;&lt;wsp:rsid wsp:val=&quot;00C35D8B&quot;/&gt;&lt;wsp:rsid wsp:val=&quot;00C35DD7&quot;/&gt;&lt;wsp:rsid wsp:val=&quot;00C36028&quot;/&gt;&lt;wsp:rsid wsp:val=&quot;00C36449&quot;/&gt;&lt;wsp:rsid wsp:val=&quot;00C370C5&quot;/&gt;&lt;wsp:rsid wsp:val=&quot;00C379AA&quot;/&gt;&lt;wsp:rsid wsp:val=&quot;00C37DDF&quot;/&gt;&lt;wsp:rsid wsp:val=&quot;00C40ACA&quot;/&gt;&lt;wsp:rsid wsp:val=&quot;00C40D11&quot;/&gt;&lt;wsp:rsid wsp:val=&quot;00C40FC8&quot;/&gt;&lt;wsp:rsid wsp:val=&quot;00C4196D&quot;/&gt;&lt;wsp:rsid wsp:val=&quot;00C41CBC&quot;/&gt;&lt;wsp:rsid wsp:val=&quot;00C43F59&quot;/&gt;&lt;wsp:rsid wsp:val=&quot;00C43FC7&quot;/&gt;&lt;wsp:rsid wsp:val=&quot;00C44362&quot;/&gt;&lt;wsp:rsid wsp:val=&quot;00C45134&quot;/&gt;&lt;wsp:rsid wsp:val=&quot;00C45CBC&quot;/&gt;&lt;wsp:rsid wsp:val=&quot;00C46052&quot;/&gt;&lt;wsp:rsid wsp:val=&quot;00C461E6&quot;/&gt;&lt;wsp:rsid wsp:val=&quot;00C46BCD&quot;/&gt;&lt;wsp:rsid wsp:val=&quot;00C47C4A&quot;/&gt;&lt;wsp:rsid wsp:val=&quot;00C5039E&quot;/&gt;&lt;wsp:rsid wsp:val=&quot;00C52896&quot;/&gt;&lt;wsp:rsid wsp:val=&quot;00C52FEA&quot;/&gt;&lt;wsp:rsid wsp:val=&quot;00C538D5&quot;/&gt;&lt;wsp:rsid wsp:val=&quot;00C53E51&quot;/&gt;&lt;wsp:rsid wsp:val=&quot;00C5404E&quot;/&gt;&lt;wsp:rsid wsp:val=&quot;00C54F13&quot;/&gt;&lt;wsp:rsid wsp:val=&quot;00C54FA4&quot;/&gt;&lt;wsp:rsid wsp:val=&quot;00C55FCE&quot;/&gt;&lt;wsp:rsid wsp:val=&quot;00C5620E&quot;/&gt;&lt;wsp:rsid wsp:val=&quot;00C56245&quot;/&gt;&lt;wsp:rsid wsp:val=&quot;00C5630B&quot;/&gt;&lt;wsp:rsid wsp:val=&quot;00C564B1&quot;/&gt;&lt;wsp:rsid wsp:val=&quot;00C567BB&quot;/&gt;&lt;wsp:rsid wsp:val=&quot;00C57513&quot;/&gt;&lt;wsp:rsid wsp:val=&quot;00C57CA0&quot;/&gt;&lt;wsp:rsid wsp:val=&quot;00C60EE8&quot;/&gt;&lt;wsp:rsid wsp:val=&quot;00C61792&quot;/&gt;&lt;wsp:rsid wsp:val=&quot;00C61DF9&quot;/&gt;&lt;wsp:rsid wsp:val=&quot;00C61FD8&quot;/&gt;&lt;wsp:rsid wsp:val=&quot;00C62A64&quot;/&gt;&lt;wsp:rsid wsp:val=&quot;00C62F70&quot;/&gt;&lt;wsp:rsid wsp:val=&quot;00C6300E&quot;/&gt;&lt;wsp:rsid wsp:val=&quot;00C63633&quot;/&gt;&lt;wsp:rsid wsp:val=&quot;00C63BC5&quot;/&gt;&lt;wsp:rsid wsp:val=&quot;00C63BCA&quot;/&gt;&lt;wsp:rsid wsp:val=&quot;00C64A0D&quot;/&gt;&lt;wsp:rsid wsp:val=&quot;00C65027&quot;/&gt;&lt;wsp:rsid wsp:val=&quot;00C657DF&quot;/&gt;&lt;wsp:rsid wsp:val=&quot;00C65869&quot;/&gt;&lt;wsp:rsid wsp:val=&quot;00C665EE&quot;/&gt;&lt;wsp:rsid wsp:val=&quot;00C6731E&quot;/&gt;&lt;wsp:rsid wsp:val=&quot;00C700AF&quot;/&gt;&lt;wsp:rsid wsp:val=&quot;00C71A0A&quot;/&gt;&lt;wsp:rsid wsp:val=&quot;00C724F8&quot;/&gt;&lt;wsp:rsid wsp:val=&quot;00C7297F&quot;/&gt;&lt;wsp:rsid wsp:val=&quot;00C73000&quot;/&gt;&lt;wsp:rsid wsp:val=&quot;00C74CC5&quot;/&gt;&lt;wsp:rsid wsp:val=&quot;00C74CD8&quot;/&gt;&lt;wsp:rsid wsp:val=&quot;00C7510F&quot;/&gt;&lt;wsp:rsid wsp:val=&quot;00C75689&quot;/&gt;&lt;wsp:rsid wsp:val=&quot;00C77639&quot;/&gt;&lt;wsp:rsid wsp:val=&quot;00C77B1E&quot;/&gt;&lt;wsp:rsid wsp:val=&quot;00C77D27&quot;/&gt;&lt;wsp:rsid wsp:val=&quot;00C8006B&quot;/&gt;&lt;wsp:rsid wsp:val=&quot;00C812C0&quot;/&gt;&lt;wsp:rsid wsp:val=&quot;00C81E94&quot;/&gt;&lt;wsp:rsid wsp:val=&quot;00C81F73&quot;/&gt;&lt;wsp:rsid wsp:val=&quot;00C81FD8&quot;/&gt;&lt;wsp:rsid wsp:val=&quot;00C8214A&quot;/&gt;&lt;wsp:rsid wsp:val=&quot;00C82F7C&quot;/&gt;&lt;wsp:rsid wsp:val=&quot;00C82FB4&quot;/&gt;&lt;wsp:rsid wsp:val=&quot;00C833F3&quot;/&gt;&lt;wsp:rsid wsp:val=&quot;00C837CF&quot;/&gt;&lt;wsp:rsid wsp:val=&quot;00C85412&quot;/&gt;&lt;wsp:rsid wsp:val=&quot;00C857BC&quot;/&gt;&lt;wsp:rsid wsp:val=&quot;00C85AE7&quot;/&gt;&lt;wsp:rsid wsp:val=&quot;00C86CC3&quot;/&gt;&lt;wsp:rsid wsp:val=&quot;00C87A88&quot;/&gt;&lt;wsp:rsid wsp:val=&quot;00C87F7C&quot;/&gt;&lt;wsp:rsid wsp:val=&quot;00C901C6&quot;/&gt;&lt;wsp:rsid wsp:val=&quot;00C9043E&quot;/&gt;&lt;wsp:rsid wsp:val=&quot;00C90738&quot;/&gt;&lt;wsp:rsid wsp:val=&quot;00C90A66&quot;/&gt;&lt;wsp:rsid wsp:val=&quot;00C92314&quot;/&gt;&lt;wsp:rsid wsp:val=&quot;00C92C8D&quot;/&gt;&lt;wsp:rsid wsp:val=&quot;00C92EE5&quot;/&gt;&lt;wsp:rsid wsp:val=&quot;00C93F3C&quot;/&gt;&lt;wsp:rsid wsp:val=&quot;00C94BBF&quot;/&gt;&lt;wsp:rsid wsp:val=&quot;00C9590D&quot;/&gt;&lt;wsp:rsid wsp:val=&quot;00C96622&quot;/&gt;&lt;wsp:rsid wsp:val=&quot;00CA122F&quot;/&gt;&lt;wsp:rsid wsp:val=&quot;00CA1C29&quot;/&gt;&lt;wsp:rsid wsp:val=&quot;00CA1C4D&quot;/&gt;&lt;wsp:rsid wsp:val=&quot;00CA2EEC&quot;/&gt;&lt;wsp:rsid wsp:val=&quot;00CA3A7C&quot;/&gt;&lt;wsp:rsid wsp:val=&quot;00CA3AAC&quot;/&gt;&lt;wsp:rsid wsp:val=&quot;00CA4E47&quot;/&gt;&lt;wsp:rsid wsp:val=&quot;00CA513F&quot;/&gt;&lt;wsp:rsid wsp:val=&quot;00CA5EAA&quot;/&gt;&lt;wsp:rsid wsp:val=&quot;00CA7E54&quot;/&gt;&lt;wsp:rsid wsp:val=&quot;00CB07CA&quot;/&gt;&lt;wsp:rsid wsp:val=&quot;00CB0963&quot;/&gt;&lt;wsp:rsid wsp:val=&quot;00CB13E0&quot;/&gt;&lt;wsp:rsid wsp:val=&quot;00CB2D1F&quot;/&gt;&lt;wsp:rsid wsp:val=&quot;00CB3ED8&quot;/&gt;&lt;wsp:rsid wsp:val=&quot;00CB3F87&quot;/&gt;&lt;wsp:rsid wsp:val=&quot;00CB4539&quot;/&gt;&lt;wsp:rsid wsp:val=&quot;00CB54D8&quot;/&gt;&lt;wsp:rsid wsp:val=&quot;00CB5A33&quot;/&gt;&lt;wsp:rsid wsp:val=&quot;00CB7E85&quot;/&gt;&lt;wsp:rsid wsp:val=&quot;00CC08A2&quot;/&gt;&lt;wsp:rsid wsp:val=&quot;00CC115D&quot;/&gt;&lt;wsp:rsid wsp:val=&quot;00CC30C6&quot;/&gt;&lt;wsp:rsid wsp:val=&quot;00CC468B&quot;/&gt;&lt;wsp:rsid wsp:val=&quot;00CC4ACC&quot;/&gt;&lt;wsp:rsid wsp:val=&quot;00CC4B30&quot;/&gt;&lt;wsp:rsid wsp:val=&quot;00CC6495&quot;/&gt;&lt;wsp:rsid wsp:val=&quot;00CC6DE7&quot;/&gt;&lt;wsp:rsid wsp:val=&quot;00CC766B&quot;/&gt;&lt;wsp:rsid wsp:val=&quot;00CD045C&quot;/&gt;&lt;wsp:rsid wsp:val=&quot;00CD180E&quot;/&gt;&lt;wsp:rsid wsp:val=&quot;00CD277E&quot;/&gt;&lt;wsp:rsid wsp:val=&quot;00CD2E96&quot;/&gt;&lt;wsp:rsid wsp:val=&quot;00CD3167&quot;/&gt;&lt;wsp:rsid wsp:val=&quot;00CD3B28&quot;/&gt;&lt;wsp:rsid wsp:val=&quot;00CD3EC1&quot;/&gt;&lt;wsp:rsid wsp:val=&quot;00CD4527&quot;/&gt;&lt;wsp:rsid wsp:val=&quot;00CD5E6C&quot;/&gt;&lt;wsp:rsid wsp:val=&quot;00CD6092&quot;/&gt;&lt;wsp:rsid wsp:val=&quot;00CD61C3&quot;/&gt;&lt;wsp:rsid wsp:val=&quot;00CD6736&quot;/&gt;&lt;wsp:rsid wsp:val=&quot;00CD68CB&quot;/&gt;&lt;wsp:rsid wsp:val=&quot;00CD6CF4&quot;/&gt;&lt;wsp:rsid wsp:val=&quot;00CD78E2&quot;/&gt;&lt;wsp:rsid wsp:val=&quot;00CE01D4&quot;/&gt;&lt;wsp:rsid wsp:val=&quot;00CE020A&quot;/&gt;&lt;wsp:rsid wsp:val=&quot;00CE15F9&quot;/&gt;&lt;wsp:rsid wsp:val=&quot;00CE17CA&quot;/&gt;&lt;wsp:rsid wsp:val=&quot;00CE1B19&quot;/&gt;&lt;wsp:rsid wsp:val=&quot;00CE2511&quot;/&gt;&lt;wsp:rsid wsp:val=&quot;00CE379C&quot;/&gt;&lt;wsp:rsid wsp:val=&quot;00CE3846&quot;/&gt;&lt;wsp:rsid wsp:val=&quot;00CE476D&quot;/&gt;&lt;wsp:rsid wsp:val=&quot;00CE5B57&quot;/&gt;&lt;wsp:rsid wsp:val=&quot;00CE5EC1&quot;/&gt;&lt;wsp:rsid wsp:val=&quot;00CE5EC7&quot;/&gt;&lt;wsp:rsid wsp:val=&quot;00CE71D0&quot;/&gt;&lt;wsp:rsid wsp:val=&quot;00CE728E&quot;/&gt;&lt;wsp:rsid wsp:val=&quot;00CE77A0&quot;/&gt;&lt;wsp:rsid wsp:val=&quot;00CF0F1B&quot;/&gt;&lt;wsp:rsid wsp:val=&quot;00CF1BA5&quot;/&gt;&lt;wsp:rsid wsp:val=&quot;00CF2CC0&quot;/&gt;&lt;wsp:rsid wsp:val=&quot;00CF2FBB&quot;/&gt;&lt;wsp:rsid wsp:val=&quot;00CF3ADF&quot;/&gt;&lt;wsp:rsid wsp:val=&quot;00CF3B6E&quot;/&gt;&lt;wsp:rsid wsp:val=&quot;00CF3C3D&quot;/&gt;&lt;wsp:rsid wsp:val=&quot;00CF54D2&quot;/&gt;&lt;wsp:rsid wsp:val=&quot;00CF69DE&quot;/&gt;&lt;wsp:rsid wsp:val=&quot;00CF6EEE&quot;/&gt;&lt;wsp:rsid wsp:val=&quot;00CF7DF7&quot;/&gt;&lt;wsp:rsid wsp:val=&quot;00CF7E09&quot;/&gt;&lt;wsp:rsid wsp:val=&quot;00D02180&quot;/&gt;&lt;wsp:rsid wsp:val=&quot;00D02790&quot;/&gt;&lt;wsp:rsid wsp:val=&quot;00D042B3&quot;/&gt;&lt;wsp:rsid wsp:val=&quot;00D051DC&quot;/&gt;&lt;wsp:rsid wsp:val=&quot;00D05220&quot;/&gt;&lt;wsp:rsid wsp:val=&quot;00D06288&quot;/&gt;&lt;wsp:rsid wsp:val=&quot;00D06323&quot;/&gt;&lt;wsp:rsid wsp:val=&quot;00D067EA&quot;/&gt;&lt;wsp:rsid wsp:val=&quot;00D06D96&quot;/&gt;&lt;wsp:rsid wsp:val=&quot;00D07621&quot;/&gt;&lt;wsp:rsid wsp:val=&quot;00D07BF3&quot;/&gt;&lt;wsp:rsid wsp:val=&quot;00D101ED&quot;/&gt;&lt;wsp:rsid wsp:val=&quot;00D104CF&quot;/&gt;&lt;wsp:rsid wsp:val=&quot;00D10EDA&quot;/&gt;&lt;wsp:rsid wsp:val=&quot;00D120C5&quot;/&gt;&lt;wsp:rsid wsp:val=&quot;00D1220A&quot;/&gt;&lt;wsp:rsid wsp:val=&quot;00D126BB&quot;/&gt;&lt;wsp:rsid wsp:val=&quot;00D127B0&quot;/&gt;&lt;wsp:rsid wsp:val=&quot;00D13AED&quot;/&gt;&lt;wsp:rsid wsp:val=&quot;00D13F9F&quot;/&gt;&lt;wsp:rsid wsp:val=&quot;00D140F1&quot;/&gt;&lt;wsp:rsid wsp:val=&quot;00D144A9&quot;/&gt;&lt;wsp:rsid wsp:val=&quot;00D14868&quot;/&gt;&lt;wsp:rsid wsp:val=&quot;00D15F18&quot;/&gt;&lt;wsp:rsid wsp:val=&quot;00D175F4&quot;/&gt;&lt;wsp:rsid wsp:val=&quot;00D17F6C&quot;/&gt;&lt;wsp:rsid wsp:val=&quot;00D20039&quot;/&gt;&lt;wsp:rsid wsp:val=&quot;00D20CA3&quot;/&gt;&lt;wsp:rsid wsp:val=&quot;00D216A7&quot;/&gt;&lt;wsp:rsid wsp:val=&quot;00D21A04&quot;/&gt;&lt;wsp:rsid wsp:val=&quot;00D22310&quot;/&gt;&lt;wsp:rsid wsp:val=&quot;00D22CB1&quot;/&gt;&lt;wsp:rsid wsp:val=&quot;00D235CE&quot;/&gt;&lt;wsp:rsid wsp:val=&quot;00D23EC1&quot;/&gt;&lt;wsp:rsid wsp:val=&quot;00D2459E&quot;/&gt;&lt;wsp:rsid wsp:val=&quot;00D24F87&quot;/&gt;&lt;wsp:rsid wsp:val=&quot;00D25358&quot;/&gt;&lt;wsp:rsid wsp:val=&quot;00D25536&quot;/&gt;&lt;wsp:rsid wsp:val=&quot;00D2631F&quot;/&gt;&lt;wsp:rsid wsp:val=&quot;00D302FE&quot;/&gt;&lt;wsp:rsid wsp:val=&quot;00D30C98&quot;/&gt;&lt;wsp:rsid wsp:val=&quot;00D31257&quot;/&gt;&lt;wsp:rsid wsp:val=&quot;00D31504&quot;/&gt;&lt;wsp:rsid wsp:val=&quot;00D32951&quot;/&gt;&lt;wsp:rsid wsp:val=&quot;00D32F1E&quot;/&gt;&lt;wsp:rsid wsp:val=&quot;00D3311D&quot;/&gt;&lt;wsp:rsid wsp:val=&quot;00D3312B&quot;/&gt;&lt;wsp:rsid wsp:val=&quot;00D342E2&quot;/&gt;&lt;wsp:rsid wsp:val=&quot;00D34538&quot;/&gt;&lt;wsp:rsid wsp:val=&quot;00D34FD1&quot;/&gt;&lt;wsp:rsid wsp:val=&quot;00D36109&quot;/&gt;&lt;wsp:rsid wsp:val=&quot;00D36666&quot;/&gt;&lt;wsp:rsid wsp:val=&quot;00D372D6&quot;/&gt;&lt;wsp:rsid wsp:val=&quot;00D37D72&quot;/&gt;&lt;wsp:rsid wsp:val=&quot;00D40163&quot;/&gt;&lt;wsp:rsid wsp:val=&quot;00D40DAD&quot;/&gt;&lt;wsp:rsid wsp:val=&quot;00D418C6&quot;/&gt;&lt;wsp:rsid wsp:val=&quot;00D41B26&quot;/&gt;&lt;wsp:rsid wsp:val=&quot;00D43010&quot;/&gt;&lt;wsp:rsid wsp:val=&quot;00D43C52&quot;/&gt;&lt;wsp:rsid wsp:val=&quot;00D43F66&quot;/&gt;&lt;wsp:rsid wsp:val=&quot;00D44625&quot;/&gt;&lt;wsp:rsid wsp:val=&quot;00D45BA3&quot;/&gt;&lt;wsp:rsid wsp:val=&quot;00D45D23&quot;/&gt;&lt;wsp:rsid wsp:val=&quot;00D46B54&quot;/&gt;&lt;wsp:rsid wsp:val=&quot;00D46DDA&quot;/&gt;&lt;wsp:rsid wsp:val=&quot;00D50640&quot;/&gt;&lt;wsp:rsid wsp:val=&quot;00D510AD&quot;/&gt;&lt;wsp:rsid wsp:val=&quot;00D5181C&quot;/&gt;&lt;wsp:rsid wsp:val=&quot;00D52915&quot;/&gt;&lt;wsp:rsid wsp:val=&quot;00D53561&quot;/&gt;&lt;wsp:rsid wsp:val=&quot;00D53835&quot;/&gt;&lt;wsp:rsid wsp:val=&quot;00D53AA2&quot;/&gt;&lt;wsp:rsid wsp:val=&quot;00D54263&quot;/&gt;&lt;wsp:rsid wsp:val=&quot;00D547BA&quot;/&gt;&lt;wsp:rsid wsp:val=&quot;00D56448&quot;/&gt;&lt;wsp:rsid wsp:val=&quot;00D56BBD&quot;/&gt;&lt;wsp:rsid wsp:val=&quot;00D56D91&quot;/&gt;&lt;wsp:rsid wsp:val=&quot;00D56DB9&quot;/&gt;&lt;wsp:rsid wsp:val=&quot;00D57824&quot;/&gt;&lt;wsp:rsid wsp:val=&quot;00D57A39&quot;/&gt;&lt;wsp:rsid wsp:val=&quot;00D57F30&quot;/&gt;&lt;wsp:rsid wsp:val=&quot;00D60606&quot;/&gt;&lt;wsp:rsid wsp:val=&quot;00D607FA&quot;/&gt;&lt;wsp:rsid wsp:val=&quot;00D60C99&quot;/&gt;&lt;wsp:rsid wsp:val=&quot;00D610F7&quot;/&gt;&lt;wsp:rsid wsp:val=&quot;00D6159C&quot;/&gt;&lt;wsp:rsid wsp:val=&quot;00D6170A&quot;/&gt;&lt;wsp:rsid wsp:val=&quot;00D61B24&quot;/&gt;&lt;wsp:rsid wsp:val=&quot;00D62204&quot;/&gt;&lt;wsp:rsid wsp:val=&quot;00D6230F&quot;/&gt;&lt;wsp:rsid wsp:val=&quot;00D62852&quot;/&gt;&lt;wsp:rsid wsp:val=&quot;00D63712&quot;/&gt;&lt;wsp:rsid wsp:val=&quot;00D638AE&quot;/&gt;&lt;wsp:rsid wsp:val=&quot;00D63E61&quot;/&gt;&lt;wsp:rsid wsp:val=&quot;00D64017&quot;/&gt;&lt;wsp:rsid wsp:val=&quot;00D6436E&quot;/&gt;&lt;wsp:rsid wsp:val=&quot;00D64A3E&quot;/&gt;&lt;wsp:rsid wsp:val=&quot;00D65BA7&quot;/&gt;&lt;wsp:rsid wsp:val=&quot;00D6667C&quot;/&gt;&lt;wsp:rsid wsp:val=&quot;00D67430&quot;/&gt;&lt;wsp:rsid wsp:val=&quot;00D67BC2&quot;/&gt;&lt;wsp:rsid wsp:val=&quot;00D710F3&quot;/&gt;&lt;wsp:rsid wsp:val=&quot;00D71302&quot;/&gt;&lt;wsp:rsid wsp:val=&quot;00D7135C&quot;/&gt;&lt;wsp:rsid wsp:val=&quot;00D742A8&quot;/&gt;&lt;wsp:rsid wsp:val=&quot;00D74311&quot;/&gt;&lt;wsp:rsid wsp:val=&quot;00D744D0&quot;/&gt;&lt;wsp:rsid wsp:val=&quot;00D746EB&quot;/&gt;&lt;wsp:rsid wsp:val=&quot;00D7689D&quot;/&gt;&lt;wsp:rsid wsp:val=&quot;00D8083B&quot;/&gt;&lt;wsp:rsid wsp:val=&quot;00D809E2&quot;/&gt;&lt;wsp:rsid wsp:val=&quot;00D81183&quot;/&gt;&lt;wsp:rsid wsp:val=&quot;00D81206&quot;/&gt;&lt;wsp:rsid wsp:val=&quot;00D817C5&quot;/&gt;&lt;wsp:rsid wsp:val=&quot;00D81A72&quot;/&gt;&lt;wsp:rsid wsp:val=&quot;00D81E97&quot;/&gt;&lt;wsp:rsid wsp:val=&quot;00D82322&quot;/&gt;&lt;wsp:rsid wsp:val=&quot;00D82914&quot;/&gt;&lt;wsp:rsid wsp:val=&quot;00D83028&quot;/&gt;&lt;wsp:rsid wsp:val=&quot;00D8342F&quot;/&gt;&lt;wsp:rsid wsp:val=&quot;00D83B0A&quot;/&gt;&lt;wsp:rsid wsp:val=&quot;00D8489E&quot;/&gt;&lt;wsp:rsid wsp:val=&quot;00D84A33&quot;/&gt;&lt;wsp:rsid wsp:val=&quot;00D85D43&quot;/&gt;&lt;wsp:rsid wsp:val=&quot;00D86471&quot;/&gt;&lt;wsp:rsid wsp:val=&quot;00D86F55&quot;/&gt;&lt;wsp:rsid wsp:val=&quot;00D87EE8&quot;/&gt;&lt;wsp:rsid wsp:val=&quot;00D90AD0&quot;/&gt;&lt;wsp:rsid wsp:val=&quot;00D90BE7&quot;/&gt;&lt;wsp:rsid wsp:val=&quot;00D91D6D&quot;/&gt;&lt;wsp:rsid wsp:val=&quot;00D91F9D&quot;/&gt;&lt;wsp:rsid wsp:val=&quot;00D93863&quot;/&gt;&lt;wsp:rsid wsp:val=&quot;00D9399E&quot;/&gt;&lt;wsp:rsid wsp:val=&quot;00D9419D&quot;/&gt;&lt;wsp:rsid wsp:val=&quot;00D950AD&quot;/&gt;&lt;wsp:rsid wsp:val=&quot;00D951A9&quot;/&gt;&lt;wsp:rsid wsp:val=&quot;00D956A9&quot;/&gt;&lt;wsp:rsid wsp:val=&quot;00D95D17&quot;/&gt;&lt;wsp:rsid wsp:val=&quot;00D96102&quot;/&gt;&lt;wsp:rsid wsp:val=&quot;00D9655B&quot;/&gt;&lt;wsp:rsid wsp:val=&quot;00D96DDD&quot;/&gt;&lt;wsp:rsid wsp:val=&quot;00D974E9&quot;/&gt;&lt;wsp:rsid wsp:val=&quot;00D97C92&quot;/&gt;&lt;wsp:rsid wsp:val=&quot;00D97D4E&quot;/&gt;&lt;wsp:rsid wsp:val=&quot;00DA07AE&quot;/&gt;&lt;wsp:rsid wsp:val=&quot;00DA0D27&quot;/&gt;&lt;wsp:rsid wsp:val=&quot;00DA1AF8&quot;/&gt;&lt;wsp:rsid wsp:val=&quot;00DA1C33&quot;/&gt;&lt;wsp:rsid wsp:val=&quot;00DA2364&quot;/&gt;&lt;wsp:rsid wsp:val=&quot;00DA3481&quot;/&gt;&lt;wsp:rsid wsp:val=&quot;00DA3A2C&quot;/&gt;&lt;wsp:rsid wsp:val=&quot;00DA3BD2&quot;/&gt;&lt;wsp:rsid wsp:val=&quot;00DA54A2&quot;/&gt;&lt;wsp:rsid wsp:val=&quot;00DA6E32&quot;/&gt;&lt;wsp:rsid wsp:val=&quot;00DA79AA&quot;/&gt;&lt;wsp:rsid wsp:val=&quot;00DB00FD&quot;/&gt;&lt;wsp:rsid wsp:val=&quot;00DB0977&quot;/&gt;&lt;wsp:rsid wsp:val=&quot;00DB1483&quot;/&gt;&lt;wsp:rsid wsp:val=&quot;00DB1CB1&quot;/&gt;&lt;wsp:rsid wsp:val=&quot;00DB215C&quot;/&gt;&lt;wsp:rsid wsp:val=&quot;00DB2864&quot;/&gt;&lt;wsp:rsid wsp:val=&quot;00DB2D9C&quot;/&gt;&lt;wsp:rsid wsp:val=&quot;00DB33A7&quot;/&gt;&lt;wsp:rsid wsp:val=&quot;00DB37CE&quot;/&gt;&lt;wsp:rsid wsp:val=&quot;00DB4346&quot;/&gt;&lt;wsp:rsid wsp:val=&quot;00DB52C8&quot;/&gt;&lt;wsp:rsid wsp:val=&quot;00DB535A&quot;/&gt;&lt;wsp:rsid wsp:val=&quot;00DB59E4&quot;/&gt;&lt;wsp:rsid wsp:val=&quot;00DB5B19&quot;/&gt;&lt;wsp:rsid wsp:val=&quot;00DB5FF1&quot;/&gt;&lt;wsp:rsid wsp:val=&quot;00DB63D3&quot;/&gt;&lt;wsp:rsid wsp:val=&quot;00DB6407&quot;/&gt;&lt;wsp:rsid wsp:val=&quot;00DC1336&quot;/&gt;&lt;wsp:rsid wsp:val=&quot;00DC165E&quot;/&gt;&lt;wsp:rsid wsp:val=&quot;00DC21F0&quot;/&gt;&lt;wsp:rsid wsp:val=&quot;00DC25FF&quot;/&gt;&lt;wsp:rsid wsp:val=&quot;00DC2A04&quot;/&gt;&lt;wsp:rsid wsp:val=&quot;00DC31BF&quot;/&gt;&lt;wsp:rsid wsp:val=&quot;00DC31F1&quot;/&gt;&lt;wsp:rsid wsp:val=&quot;00DC33CD&quot;/&gt;&lt;wsp:rsid wsp:val=&quot;00DC4044&quot;/&gt;&lt;wsp:rsid wsp:val=&quot;00DC49FC&quot;/&gt;&lt;wsp:rsid wsp:val=&quot;00DC60A0&quot;/&gt;&lt;wsp:rsid wsp:val=&quot;00DC6D0C&quot;/&gt;&lt;wsp:rsid wsp:val=&quot;00DC71AD&quot;/&gt;&lt;wsp:rsid wsp:val=&quot;00DC7818&quot;/&gt;&lt;wsp:rsid wsp:val=&quot;00DD1066&quot;/&gt;&lt;wsp:rsid wsp:val=&quot;00DD1A6F&quot;/&gt;&lt;wsp:rsid wsp:val=&quot;00DD1B66&quot;/&gt;&lt;wsp:rsid wsp:val=&quot;00DD1C6C&quot;/&gt;&lt;wsp:rsid wsp:val=&quot;00DD2264&quot;/&gt;&lt;wsp:rsid wsp:val=&quot;00DD253A&quot;/&gt;&lt;wsp:rsid wsp:val=&quot;00DD400A&quot;/&gt;&lt;wsp:rsid wsp:val=&quot;00DD4714&quot;/&gt;&lt;wsp:rsid wsp:val=&quot;00DD4EC4&quot;/&gt;&lt;wsp:rsid wsp:val=&quot;00DD677C&quot;/&gt;&lt;wsp:rsid wsp:val=&quot;00DD7956&quot;/&gt;&lt;wsp:rsid wsp:val=&quot;00DD79EF&quot;/&gt;&lt;wsp:rsid wsp:val=&quot;00DE03CF&quot;/&gt;&lt;wsp:rsid wsp:val=&quot;00DE1A90&quot;/&gt;&lt;wsp:rsid wsp:val=&quot;00DE2CC6&quot;/&gt;&lt;wsp:rsid wsp:val=&quot;00DE4580&quot;/&gt;&lt;wsp:rsid wsp:val=&quot;00DE50E5&quot;/&gt;&lt;wsp:rsid wsp:val=&quot;00DE5A95&quot;/&gt;&lt;wsp:rsid wsp:val=&quot;00DE5DB4&quot;/&gt;&lt;wsp:rsid wsp:val=&quot;00DE6017&quot;/&gt;&lt;wsp:rsid wsp:val=&quot;00DE6D58&quot;/&gt;&lt;wsp:rsid wsp:val=&quot;00DE74BF&quot;/&gt;&lt;wsp:rsid wsp:val=&quot;00DE78EF&quot;/&gt;&lt;wsp:rsid wsp:val=&quot;00DE7DE5&quot;/&gt;&lt;wsp:rsid wsp:val=&quot;00DE7EDF&quot;/&gt;&lt;wsp:rsid wsp:val=&quot;00DF00B8&quot;/&gt;&lt;wsp:rsid wsp:val=&quot;00DF0488&quot;/&gt;&lt;wsp:rsid wsp:val=&quot;00DF05D9&quot;/&gt;&lt;wsp:rsid wsp:val=&quot;00DF06A2&quot;/&gt;&lt;wsp:rsid wsp:val=&quot;00DF3066&quot;/&gt;&lt;wsp:rsid wsp:val=&quot;00DF34CF&quot;/&gt;&lt;wsp:rsid wsp:val=&quot;00DF35CC&quot;/&gt;&lt;wsp:rsid wsp:val=&quot;00DF4B2A&quot;/&gt;&lt;wsp:rsid wsp:val=&quot;00DF4CE0&quot;/&gt;&lt;wsp:rsid wsp:val=&quot;00DF5314&quot;/&gt;&lt;wsp:rsid wsp:val=&quot;00DF5333&quot;/&gt;&lt;wsp:rsid wsp:val=&quot;00DF5912&quot;/&gt;&lt;wsp:rsid wsp:val=&quot;00DF65BC&quot;/&gt;&lt;wsp:rsid wsp:val=&quot;00DF6647&quot;/&gt;&lt;wsp:rsid wsp:val=&quot;00DF6978&quot;/&gt;&lt;wsp:rsid wsp:val=&quot;00DF6B08&quot;/&gt;&lt;wsp:rsid wsp:val=&quot;00DF72E5&quot;/&gt;&lt;wsp:rsid wsp:val=&quot;00DF77ED&quot;/&gt;&lt;wsp:rsid wsp:val=&quot;00E0025D&quot;/&gt;&lt;wsp:rsid wsp:val=&quot;00E00543&quot;/&gt;&lt;wsp:rsid wsp:val=&quot;00E00A45&quot;/&gt;&lt;wsp:rsid wsp:val=&quot;00E00FEE&quot;/&gt;&lt;wsp:rsid wsp:val=&quot;00E0102D&quot;/&gt;&lt;wsp:rsid wsp:val=&quot;00E0139D&quot;/&gt;&lt;wsp:rsid wsp:val=&quot;00E02285&quot;/&gt;&lt;wsp:rsid wsp:val=&quot;00E0293E&quot;/&gt;&lt;wsp:rsid wsp:val=&quot;00E02FCE&quot;/&gt;&lt;wsp:rsid wsp:val=&quot;00E037B4&quot;/&gt;&lt;wsp:rsid wsp:val=&quot;00E03A20&quot;/&gt;&lt;wsp:rsid wsp:val=&quot;00E03D8B&quot;/&gt;&lt;wsp:rsid wsp:val=&quot;00E04042&quot;/&gt;&lt;wsp:rsid wsp:val=&quot;00E04ADE&quot;/&gt;&lt;wsp:rsid wsp:val=&quot;00E05CD3&quot;/&gt;&lt;wsp:rsid wsp:val=&quot;00E07704&quot;/&gt;&lt;wsp:rsid wsp:val=&quot;00E0790A&quot;/&gt;&lt;wsp:rsid wsp:val=&quot;00E07B3B&quot;/&gt;&lt;wsp:rsid wsp:val=&quot;00E11755&quot;/&gt;&lt;wsp:rsid wsp:val=&quot;00E11D36&quot;/&gt;&lt;wsp:rsid wsp:val=&quot;00E12B74&quot;/&gt;&lt;wsp:rsid wsp:val=&quot;00E154A8&quot;/&gt;&lt;wsp:rsid wsp:val=&quot;00E16067&quot;/&gt;&lt;wsp:rsid wsp:val=&quot;00E164F2&quot;/&gt;&lt;wsp:rsid wsp:val=&quot;00E17062&quot;/&gt;&lt;wsp:rsid wsp:val=&quot;00E202AC&quot;/&gt;&lt;wsp:rsid wsp:val=&quot;00E20967&quot;/&gt;&lt;wsp:rsid wsp:val=&quot;00E21088&quot;/&gt;&lt;wsp:rsid wsp:val=&quot;00E2134D&quot;/&gt;&lt;wsp:rsid wsp:val=&quot;00E2224C&quot;/&gt;&lt;wsp:rsid wsp:val=&quot;00E232E2&quot;/&gt;&lt;wsp:rsid wsp:val=&quot;00E23FF3&quot;/&gt;&lt;wsp:rsid wsp:val=&quot;00E2510A&quot;/&gt;&lt;wsp:rsid wsp:val=&quot;00E26340&quot;/&gt;&lt;wsp:rsid wsp:val=&quot;00E26ACE&quot;/&gt;&lt;wsp:rsid wsp:val=&quot;00E26CFB&quot;/&gt;&lt;wsp:rsid wsp:val=&quot;00E2711B&quot;/&gt;&lt;wsp:rsid wsp:val=&quot;00E27EE5&quot;/&gt;&lt;wsp:rsid wsp:val=&quot;00E308C8&quot;/&gt;&lt;wsp:rsid wsp:val=&quot;00E30B40&quot;/&gt;&lt;wsp:rsid wsp:val=&quot;00E3111A&quot;/&gt;&lt;wsp:rsid wsp:val=&quot;00E32496&quot;/&gt;&lt;wsp:rsid wsp:val=&quot;00E32B4D&quot;/&gt;&lt;wsp:rsid wsp:val=&quot;00E32C3B&quot;/&gt;&lt;wsp:rsid wsp:val=&quot;00E335ED&quot;/&gt;&lt;wsp:rsid wsp:val=&quot;00E33DBB&quot;/&gt;&lt;wsp:rsid wsp:val=&quot;00E346DD&quot;/&gt;&lt;wsp:rsid wsp:val=&quot;00E35775&quot;/&gt;&lt;wsp:rsid wsp:val=&quot;00E37AE4&quot;/&gt;&lt;wsp:rsid wsp:val=&quot;00E419A4&quot;/&gt;&lt;wsp:rsid wsp:val=&quot;00E4282A&quot;/&gt;&lt;wsp:rsid wsp:val=&quot;00E42994&quot;/&gt;&lt;wsp:rsid wsp:val=&quot;00E42ACE&quot;/&gt;&lt;wsp:rsid wsp:val=&quot;00E42BA7&quot;/&gt;&lt;wsp:rsid wsp:val=&quot;00E42BDB&quot;/&gt;&lt;wsp:rsid wsp:val=&quot;00E42C18&quot;/&gt;&lt;wsp:rsid wsp:val=&quot;00E43B69&quot;/&gt;&lt;wsp:rsid wsp:val=&quot;00E451FF&quot;/&gt;&lt;wsp:rsid wsp:val=&quot;00E45554&quot;/&gt;&lt;wsp:rsid wsp:val=&quot;00E4639A&quot;/&gt;&lt;wsp:rsid wsp:val=&quot;00E46A24&quot;/&gt;&lt;wsp:rsid wsp:val=&quot;00E46B62&quot;/&gt;&lt;wsp:rsid wsp:val=&quot;00E4713C&quot;/&gt;&lt;wsp:rsid wsp:val=&quot;00E475D9&quot;/&gt;&lt;wsp:rsid wsp:val=&quot;00E47D02&quot;/&gt;&lt;wsp:rsid wsp:val=&quot;00E50998&quot;/&gt;&lt;wsp:rsid wsp:val=&quot;00E51095&quot;/&gt;&lt;wsp:rsid wsp:val=&quot;00E51C27&quot;/&gt;&lt;wsp:rsid wsp:val=&quot;00E51D02&quot;/&gt;&lt;wsp:rsid wsp:val=&quot;00E53415&quot;/&gt;&lt;wsp:rsid wsp:val=&quot;00E537DA&quot;/&gt;&lt;wsp:rsid wsp:val=&quot;00E53E12&quot;/&gt;&lt;wsp:rsid wsp:val=&quot;00E53FD8&quot;/&gt;&lt;wsp:rsid wsp:val=&quot;00E54C1A&quot;/&gt;&lt;wsp:rsid wsp:val=&quot;00E54EF8&quot;/&gt;&lt;wsp:rsid wsp:val=&quot;00E550EE&quot;/&gt;&lt;wsp:rsid wsp:val=&quot;00E55D77&quot;/&gt;&lt;wsp:rsid wsp:val=&quot;00E56391&quot;/&gt;&lt;wsp:rsid wsp:val=&quot;00E56410&quot;/&gt;&lt;wsp:rsid wsp:val=&quot;00E570E1&quot;/&gt;&lt;wsp:rsid wsp:val=&quot;00E57150&quot;/&gt;&lt;wsp:rsid wsp:val=&quot;00E57B3E&quot;/&gt;&lt;wsp:rsid wsp:val=&quot;00E57C84&quot;/&gt;&lt;wsp:rsid wsp:val=&quot;00E6001C&quot;/&gt;&lt;wsp:rsid wsp:val=&quot;00E61061&quot;/&gt;&lt;wsp:rsid wsp:val=&quot;00E61511&quot;/&gt;&lt;wsp:rsid wsp:val=&quot;00E6242F&quot;/&gt;&lt;wsp:rsid wsp:val=&quot;00E627DD&quot;/&gt;&lt;wsp:rsid wsp:val=&quot;00E62903&quot;/&gt;&lt;wsp:rsid wsp:val=&quot;00E62BDC&quot;/&gt;&lt;wsp:rsid wsp:val=&quot;00E62F86&quot;/&gt;&lt;wsp:rsid wsp:val=&quot;00E63558&quot;/&gt;&lt;wsp:rsid wsp:val=&quot;00E63662&quot;/&gt;&lt;wsp:rsid wsp:val=&quot;00E63812&quot;/&gt;&lt;wsp:rsid wsp:val=&quot;00E640C2&quot;/&gt;&lt;wsp:rsid wsp:val=&quot;00E64DB6&quot;/&gt;&lt;wsp:rsid wsp:val=&quot;00E64F86&quot;/&gt;&lt;wsp:rsid wsp:val=&quot;00E653BD&quot;/&gt;&lt;wsp:rsid wsp:val=&quot;00E658C9&quot;/&gt;&lt;wsp:rsid wsp:val=&quot;00E659A6&quot;/&gt;&lt;wsp:rsid wsp:val=&quot;00E66507&quot;/&gt;&lt;wsp:rsid wsp:val=&quot;00E66AC3&quot;/&gt;&lt;wsp:rsid wsp:val=&quot;00E66DE7&quot;/&gt;&lt;wsp:rsid wsp:val=&quot;00E674C2&quot;/&gt;&lt;wsp:rsid wsp:val=&quot;00E67AF5&quot;/&gt;&lt;wsp:rsid wsp:val=&quot;00E70324&quot;/&gt;&lt;wsp:rsid wsp:val=&quot;00E70B12&quot;/&gt;&lt;wsp:rsid wsp:val=&quot;00E70CE8&quot;/&gt;&lt;wsp:rsid wsp:val=&quot;00E7156E&quot;/&gt;&lt;wsp:rsid wsp:val=&quot;00E7199E&quot;/&gt;&lt;wsp:rsid wsp:val=&quot;00E72723&quot;/&gt;&lt;wsp:rsid wsp:val=&quot;00E73523&quot;/&gt;&lt;wsp:rsid wsp:val=&quot;00E7362A&quot;/&gt;&lt;wsp:rsid wsp:val=&quot;00E739E5&quot;/&gt;&lt;wsp:rsid wsp:val=&quot;00E73AED&quot;/&gt;&lt;wsp:rsid wsp:val=&quot;00E73CE8&quot;/&gt;&lt;wsp:rsid wsp:val=&quot;00E73F73&quot;/&gt;&lt;wsp:rsid wsp:val=&quot;00E74250&quot;/&gt;&lt;wsp:rsid wsp:val=&quot;00E75132&quot;/&gt;&lt;wsp:rsid wsp:val=&quot;00E75373&quot;/&gt;&lt;wsp:rsid wsp:val=&quot;00E75B0D&quot;/&gt;&lt;wsp:rsid wsp:val=&quot;00E7631D&quot;/&gt;&lt;wsp:rsid wsp:val=&quot;00E77D4D&quot;/&gt;&lt;wsp:rsid wsp:val=&quot;00E77F13&quot;/&gt;&lt;wsp:rsid wsp:val=&quot;00E77F3C&quot;/&gt;&lt;wsp:rsid wsp:val=&quot;00E80251&quot;/&gt;&lt;wsp:rsid wsp:val=&quot;00E80535&quot;/&gt;&lt;wsp:rsid wsp:val=&quot;00E81680&quot;/&gt;&lt;wsp:rsid wsp:val=&quot;00E81D69&quot;/&gt;&lt;wsp:rsid wsp:val=&quot;00E837EC&quot;/&gt;&lt;wsp:rsid wsp:val=&quot;00E83FBA&quot;/&gt;&lt;wsp:rsid wsp:val=&quot;00E84240&quot;/&gt;&lt;wsp:rsid wsp:val=&quot;00E848BE&quot;/&gt;&lt;wsp:rsid wsp:val=&quot;00E84BBD&quot;/&gt;&lt;wsp:rsid wsp:val=&quot;00E84C96&quot;/&gt;&lt;wsp:rsid wsp:val=&quot;00E8544A&quot;/&gt;&lt;wsp:rsid wsp:val=&quot;00E85464&quot;/&gt;&lt;wsp:rsid wsp:val=&quot;00E85B6D&quot;/&gt;&lt;wsp:rsid wsp:val=&quot;00E85D74&quot;/&gt;&lt;wsp:rsid wsp:val=&quot;00E85F41&quot;/&gt;&lt;wsp:rsid wsp:val=&quot;00E86916&quot;/&gt;&lt;wsp:rsid wsp:val=&quot;00E869A0&quot;/&gt;&lt;wsp:rsid wsp:val=&quot;00E86A44&quot;/&gt;&lt;wsp:rsid wsp:val=&quot;00E90920&quot;/&gt;&lt;wsp:rsid wsp:val=&quot;00E910BB&quot;/&gt;&lt;wsp:rsid wsp:val=&quot;00E91246&quot;/&gt;&lt;wsp:rsid wsp:val=&quot;00E91322&quot;/&gt;&lt;wsp:rsid wsp:val=&quot;00E91883&quot;/&gt;&lt;wsp:rsid wsp:val=&quot;00E918F3&quot;/&gt;&lt;wsp:rsid wsp:val=&quot;00E91994&quot;/&gt;&lt;wsp:rsid wsp:val=&quot;00E93824&quot;/&gt;&lt;wsp:rsid wsp:val=&quot;00E93BAE&quot;/&gt;&lt;wsp:rsid wsp:val=&quot;00E94787&quot;/&gt;&lt;wsp:rsid wsp:val=&quot;00E94A27&quot;/&gt;&lt;wsp:rsid wsp:val=&quot;00E94B0A&quot;/&gt;&lt;wsp:rsid wsp:val=&quot;00E94D67&quot;/&gt;&lt;wsp:rsid wsp:val=&quot;00E94F32&quot;/&gt;&lt;wsp:rsid wsp:val=&quot;00E95906&quot;/&gt;&lt;wsp:rsid wsp:val=&quot;00E95BFC&quot;/&gt;&lt;wsp:rsid wsp:val=&quot;00E9635A&quot;/&gt;&lt;wsp:rsid wsp:val=&quot;00E964EE&quot;/&gt;&lt;wsp:rsid wsp:val=&quot;00E97690&quot;/&gt;&lt;wsp:rsid wsp:val=&quot;00EA0C5B&quot;/&gt;&lt;wsp:rsid wsp:val=&quot;00EA127F&quot;/&gt;&lt;wsp:rsid wsp:val=&quot;00EA1B3A&quot;/&gt;&lt;wsp:rsid wsp:val=&quot;00EA21FB&quot;/&gt;&lt;wsp:rsid wsp:val=&quot;00EA27C4&quot;/&gt;&lt;wsp:rsid wsp:val=&quot;00EA2818&quot;/&gt;&lt;wsp:rsid wsp:val=&quot;00EA4283&quot;/&gt;&lt;wsp:rsid wsp:val=&quot;00EA4A7A&quot;/&gt;&lt;wsp:rsid wsp:val=&quot;00EA5498&quot;/&gt;&lt;wsp:rsid wsp:val=&quot;00EA5581&quot;/&gt;&lt;wsp:rsid wsp:val=&quot;00EA58B7&quot;/&gt;&lt;wsp:rsid wsp:val=&quot;00EA7849&quot;/&gt;&lt;wsp:rsid wsp:val=&quot;00EA7CE7&quot;/&gt;&lt;wsp:rsid wsp:val=&quot;00EB0326&quot;/&gt;&lt;wsp:rsid wsp:val=&quot;00EB08C7&quot;/&gt;&lt;wsp:rsid wsp:val=&quot;00EB0DA5&quot;/&gt;&lt;wsp:rsid wsp:val=&quot;00EB1895&quot;/&gt;&lt;wsp:rsid wsp:val=&quot;00EB1EBA&quot;/&gt;&lt;wsp:rsid wsp:val=&quot;00EB3CFE&quot;/&gt;&lt;wsp:rsid wsp:val=&quot;00EB3D9A&quot;/&gt;&lt;wsp:rsid wsp:val=&quot;00EB3ED6&quot;/&gt;&lt;wsp:rsid wsp:val=&quot;00EB4E26&quot;/&gt;&lt;wsp:rsid wsp:val=&quot;00EB52D8&quot;/&gt;&lt;wsp:rsid wsp:val=&quot;00EB6540&quot;/&gt;&lt;wsp:rsid wsp:val=&quot;00EB6EB0&quot;/&gt;&lt;wsp:rsid wsp:val=&quot;00EB75C2&quot;/&gt;&lt;wsp:rsid wsp:val=&quot;00EB7953&quot;/&gt;&lt;wsp:rsid wsp:val=&quot;00EC2FA7&quot;/&gt;&lt;wsp:rsid wsp:val=&quot;00EC2FC2&quot;/&gt;&lt;wsp:rsid wsp:val=&quot;00EC3027&quot;/&gt;&lt;wsp:rsid wsp:val=&quot;00EC35F5&quot;/&gt;&lt;wsp:rsid wsp:val=&quot;00EC3644&quot;/&gt;&lt;wsp:rsid wsp:val=&quot;00EC3ABB&quot;/&gt;&lt;wsp:rsid wsp:val=&quot;00EC458C&quot;/&gt;&lt;wsp:rsid wsp:val=&quot;00EC4AF0&quot;/&gt;&lt;wsp:rsid wsp:val=&quot;00EC4D39&quot;/&gt;&lt;wsp:rsid wsp:val=&quot;00EC53D8&quot;/&gt;&lt;wsp:rsid wsp:val=&quot;00EC54FA&quot;/&gt;&lt;wsp:rsid wsp:val=&quot;00EC62EC&quot;/&gt;&lt;wsp:rsid wsp:val=&quot;00EC6463&quot;/&gt;&lt;wsp:rsid wsp:val=&quot;00EC6931&quot;/&gt;&lt;wsp:rsid wsp:val=&quot;00EC7C5C&quot;/&gt;&lt;wsp:rsid wsp:val=&quot;00EC7F3B&quot;/&gt;&lt;wsp:rsid wsp:val=&quot;00ED08A0&quot;/&gt;&lt;wsp:rsid wsp:val=&quot;00ED1D22&quot;/&gt;&lt;wsp:rsid wsp:val=&quot;00ED1ED0&quot;/&gt;&lt;wsp:rsid wsp:val=&quot;00ED2D46&quot;/&gt;&lt;wsp:rsid wsp:val=&quot;00ED4035&quot;/&gt;&lt;wsp:rsid wsp:val=&quot;00ED51D1&quot;/&gt;&lt;wsp:rsid wsp:val=&quot;00ED5209&quot;/&gt;&lt;wsp:rsid wsp:val=&quot;00ED5443&quot;/&gt;&lt;wsp:rsid wsp:val=&quot;00ED57FC&quot;/&gt;&lt;wsp:rsid wsp:val=&quot;00ED5E22&quot;/&gt;&lt;wsp:rsid wsp:val=&quot;00ED5F4D&quot;/&gt;&lt;wsp:rsid wsp:val=&quot;00ED6214&quot;/&gt;&lt;wsp:rsid wsp:val=&quot;00ED6321&quot;/&gt;&lt;wsp:rsid wsp:val=&quot;00ED63F8&quot;/&gt;&lt;wsp:rsid wsp:val=&quot;00EE005C&quot;/&gt;&lt;wsp:rsid wsp:val=&quot;00EE07EB&quot;/&gt;&lt;wsp:rsid wsp:val=&quot;00EE0EBA&quot;/&gt;&lt;wsp:rsid wsp:val=&quot;00EE16AC&quot;/&gt;&lt;wsp:rsid wsp:val=&quot;00EE184B&quot;/&gt;&lt;wsp:rsid wsp:val=&quot;00EE18EA&quot;/&gt;&lt;wsp:rsid wsp:val=&quot;00EE1F8B&quot;/&gt;&lt;wsp:rsid wsp:val=&quot;00EE2002&quot;/&gt;&lt;wsp:rsid wsp:val=&quot;00EE24C7&quot;/&gt;&lt;wsp:rsid wsp:val=&quot;00EE27DE&quot;/&gt;&lt;wsp:rsid wsp:val=&quot;00EE2B45&quot;/&gt;&lt;wsp:rsid wsp:val=&quot;00EE2D92&quot;/&gt;&lt;wsp:rsid wsp:val=&quot;00EE3902&quot;/&gt;&lt;wsp:rsid wsp:val=&quot;00EE3DEB&quot;/&gt;&lt;wsp:rsid wsp:val=&quot;00EE455D&quot;/&gt;&lt;wsp:rsid wsp:val=&quot;00EE4A40&quot;/&gt;&lt;wsp:rsid wsp:val=&quot;00EE4B78&quot;/&gt;&lt;wsp:rsid wsp:val=&quot;00EE4BD7&quot;/&gt;&lt;wsp:rsid wsp:val=&quot;00EE7057&quot;/&gt;&lt;wsp:rsid wsp:val=&quot;00EF04D8&quot;/&gt;&lt;wsp:rsid wsp:val=&quot;00EF0C49&quot;/&gt;&lt;wsp:rsid wsp:val=&quot;00EF154B&quot;/&gt;&lt;wsp:rsid wsp:val=&quot;00EF19C3&quot;/&gt;&lt;wsp:rsid wsp:val=&quot;00EF1B1C&quot;/&gt;&lt;wsp:rsid wsp:val=&quot;00EF1BB4&quot;/&gt;&lt;wsp:rsid wsp:val=&quot;00EF2A1D&quot;/&gt;&lt;wsp:rsid wsp:val=&quot;00EF2E4F&quot;/&gt;&lt;wsp:rsid wsp:val=&quot;00EF3013&quot;/&gt;&lt;wsp:rsid wsp:val=&quot;00EF3CF9&quot;/&gt;&lt;wsp:rsid wsp:val=&quot;00EF3E20&quot;/&gt;&lt;wsp:rsid wsp:val=&quot;00EF4B3B&quot;/&gt;&lt;wsp:rsid wsp:val=&quot;00EF4D7D&quot;/&gt;&lt;wsp:rsid wsp:val=&quot;00EF63CC&quot;/&gt;&lt;wsp:rsid wsp:val=&quot;00EF74F1&quot;/&gt;&lt;wsp:rsid wsp:val=&quot;00EF7AE6&quot;/&gt;&lt;wsp:rsid wsp:val=&quot;00F016FA&quot;/&gt;&lt;wsp:rsid wsp:val=&quot;00F01D5F&quot;/&gt;&lt;wsp:rsid wsp:val=&quot;00F01D7F&quot;/&gt;&lt;wsp:rsid wsp:val=&quot;00F025C4&quot;/&gt;&lt;wsp:rsid wsp:val=&quot;00F028D8&quot;/&gt;&lt;wsp:rsid wsp:val=&quot;00F02F87&quot;/&gt;&lt;wsp:rsid wsp:val=&quot;00F05381&quot;/&gt;&lt;wsp:rsid wsp:val=&quot;00F05AA8&quot;/&gt;&lt;wsp:rsid wsp:val=&quot;00F0738E&quot;/&gt;&lt;wsp:rsid wsp:val=&quot;00F076F1&quot;/&gt;&lt;wsp:rsid wsp:val=&quot;00F07817&quot;/&gt;&lt;wsp:rsid wsp:val=&quot;00F12A22&quot;/&gt;&lt;wsp:rsid wsp:val=&quot;00F14094&quot;/&gt;&lt;wsp:rsid wsp:val=&quot;00F15CD2&quot;/&gt;&lt;wsp:rsid wsp:val=&quot;00F16141&quot;/&gt;&lt;wsp:rsid wsp:val=&quot;00F165ED&quot;/&gt;&lt;wsp:rsid wsp:val=&quot;00F16BC0&quot;/&gt;&lt;wsp:rsid wsp:val=&quot;00F17120&quot;/&gt;&lt;wsp:rsid wsp:val=&quot;00F17219&quot;/&gt;&lt;wsp:rsid wsp:val=&quot;00F174A7&quot;/&gt;&lt;wsp:rsid wsp:val=&quot;00F177BD&quot;/&gt;&lt;wsp:rsid wsp:val=&quot;00F17C01&quot;/&gt;&lt;wsp:rsid wsp:val=&quot;00F2068C&quot;/&gt;&lt;wsp:rsid wsp:val=&quot;00F208BB&quot;/&gt;&lt;wsp:rsid wsp:val=&quot;00F20A1B&quot;/&gt;&lt;wsp:rsid wsp:val=&quot;00F20A5D&quot;/&gt;&lt;wsp:rsid wsp:val=&quot;00F213C6&quot;/&gt;&lt;wsp:rsid wsp:val=&quot;00F213F3&quot;/&gt;&lt;wsp:rsid wsp:val=&quot;00F21EB9&quot;/&gt;&lt;wsp:rsid wsp:val=&quot;00F22608&quot;/&gt;&lt;wsp:rsid wsp:val=&quot;00F22768&quot;/&gt;&lt;wsp:rsid wsp:val=&quot;00F22C1B&quot;/&gt;&lt;wsp:rsid wsp:val=&quot;00F2432B&quot;/&gt;&lt;wsp:rsid wsp:val=&quot;00F2475B&quot;/&gt;&lt;wsp:rsid wsp:val=&quot;00F26CB8&quot;/&gt;&lt;wsp:rsid wsp:val=&quot;00F2786F&quot;/&gt;&lt;wsp:rsid wsp:val=&quot;00F30CF7&quot;/&gt;&lt;wsp:rsid wsp:val=&quot;00F31E22&quot;/&gt;&lt;wsp:rsid wsp:val=&quot;00F332BD&quot;/&gt;&lt;wsp:rsid wsp:val=&quot;00F3338D&quot;/&gt;&lt;wsp:rsid wsp:val=&quot;00F33A86&quot;/&gt;&lt;wsp:rsid wsp:val=&quot;00F33C71&quot;/&gt;&lt;wsp:rsid wsp:val=&quot;00F340E0&quot;/&gt;&lt;wsp:rsid wsp:val=&quot;00F3420C&quot;/&gt;&lt;wsp:rsid wsp:val=&quot;00F34284&quot;/&gt;&lt;wsp:rsid wsp:val=&quot;00F3482F&quot;/&gt;&lt;wsp:rsid wsp:val=&quot;00F34901&quot;/&gt;&lt;wsp:rsid wsp:val=&quot;00F34EA3&quot;/&gt;&lt;wsp:rsid wsp:val=&quot;00F358AE&quot;/&gt;&lt;wsp:rsid wsp:val=&quot;00F35F33&quot;/&gt;&lt;wsp:rsid wsp:val=&quot;00F36F47&quot;/&gt;&lt;wsp:rsid wsp:val=&quot;00F36F49&quot;/&gt;&lt;wsp:rsid wsp:val=&quot;00F37DAE&quot;/&gt;&lt;wsp:rsid wsp:val=&quot;00F40AB3&quot;/&gt;&lt;wsp:rsid wsp:val=&quot;00F40D48&quot;/&gt;&lt;wsp:rsid wsp:val=&quot;00F40D53&quot;/&gt;&lt;wsp:rsid wsp:val=&quot;00F411E6&quot;/&gt;&lt;wsp:rsid wsp:val=&quot;00F41E7E&quot;/&gt;&lt;wsp:rsid wsp:val=&quot;00F4297D&quot;/&gt;&lt;wsp:rsid wsp:val=&quot;00F4330E&quot;/&gt;&lt;wsp:rsid wsp:val=&quot;00F43B1C&quot;/&gt;&lt;wsp:rsid wsp:val=&quot;00F43E0D&quot;/&gt;&lt;wsp:rsid wsp:val=&quot;00F4493C&quot;/&gt;&lt;wsp:rsid wsp:val=&quot;00F44F50&quot;/&gt;&lt;wsp:rsid wsp:val=&quot;00F4528D&quot;/&gt;&lt;wsp:rsid wsp:val=&quot;00F45649&quot;/&gt;&lt;wsp:rsid wsp:val=&quot;00F458D8&quot;/&gt;&lt;wsp:rsid wsp:val=&quot;00F46091&quot;/&gt;&lt;wsp:rsid wsp:val=&quot;00F4611E&quot;/&gt;&lt;wsp:rsid wsp:val=&quot;00F46D2A&quot;/&gt;&lt;wsp:rsid wsp:val=&quot;00F46F0E&quot;/&gt;&lt;wsp:rsid wsp:val=&quot;00F47547&quot;/&gt;&lt;wsp:rsid wsp:val=&quot;00F47A59&quot;/&gt;&lt;wsp:rsid wsp:val=&quot;00F50BB3&quot;/&gt;&lt;wsp:rsid wsp:val=&quot;00F514D2&quot;/&gt;&lt;wsp:rsid wsp:val=&quot;00F51777&quot;/&gt;&lt;wsp:rsid wsp:val=&quot;00F537CA&quot;/&gt;&lt;wsp:rsid wsp:val=&quot;00F53C0D&quot;/&gt;&lt;wsp:rsid wsp:val=&quot;00F54076&quot;/&gt;&lt;wsp:rsid wsp:val=&quot;00F5415C&quot;/&gt;&lt;wsp:rsid wsp:val=&quot;00F54BA3&quot;/&gt;&lt;wsp:rsid wsp:val=&quot;00F54C40&quot;/&gt;&lt;wsp:rsid wsp:val=&quot;00F550B1&quot;/&gt;&lt;wsp:rsid wsp:val=&quot;00F556BE&quot;/&gt;&lt;wsp:rsid wsp:val=&quot;00F5580F&quot;/&gt;&lt;wsp:rsid wsp:val=&quot;00F55C3F&quot;/&gt;&lt;wsp:rsid wsp:val=&quot;00F56624&quot;/&gt;&lt;wsp:rsid wsp:val=&quot;00F56C2F&quot;/&gt;&lt;wsp:rsid wsp:val=&quot;00F57BBF&quot;/&gt;&lt;wsp:rsid wsp:val=&quot;00F6070E&quot;/&gt;&lt;wsp:rsid wsp:val=&quot;00F61AFB&quot;/&gt;&lt;wsp:rsid wsp:val=&quot;00F620DE&quot;/&gt;&lt;wsp:rsid wsp:val=&quot;00F622D8&quot;/&gt;&lt;wsp:rsid wsp:val=&quot;00F63885&quot;/&gt;&lt;wsp:rsid wsp:val=&quot;00F63B70&quot;/&gt;&lt;wsp:rsid wsp:val=&quot;00F63EBA&quot;/&gt;&lt;wsp:rsid wsp:val=&quot;00F63EE4&quot;/&gt;&lt;wsp:rsid wsp:val=&quot;00F65811&quot;/&gt;&lt;wsp:rsid wsp:val=&quot;00F65DF1&quot;/&gt;&lt;wsp:rsid wsp:val=&quot;00F6628E&quot;/&gt;&lt;wsp:rsid wsp:val=&quot;00F66E8F&quot;/&gt;&lt;wsp:rsid wsp:val=&quot;00F67658&quot;/&gt;&lt;wsp:rsid wsp:val=&quot;00F67AA6&quot;/&gt;&lt;wsp:rsid wsp:val=&quot;00F67E2C&quot;/&gt;&lt;wsp:rsid wsp:val=&quot;00F700C6&quot;/&gt;&lt;wsp:rsid wsp:val=&quot;00F70168&quot;/&gt;&lt;wsp:rsid wsp:val=&quot;00F7017E&quot;/&gt;&lt;wsp:rsid wsp:val=&quot;00F70326&quot;/&gt;&lt;wsp:rsid wsp:val=&quot;00F70DEE&quot;/&gt;&lt;wsp:rsid wsp:val=&quot;00F713DC&quot;/&gt;&lt;wsp:rsid wsp:val=&quot;00F71891&quot;/&gt;&lt;wsp:rsid wsp:val=&quot;00F724A7&quot;/&gt;&lt;wsp:rsid wsp:val=&quot;00F72C01&quot;/&gt;&lt;wsp:rsid wsp:val=&quot;00F73F55&quot;/&gt;&lt;wsp:rsid wsp:val=&quot;00F74B7D&quot;/&gt;&lt;wsp:rsid wsp:val=&quot;00F751D4&quot;/&gt;&lt;wsp:rsid wsp:val=&quot;00F75456&quot;/&gt;&lt;wsp:rsid wsp:val=&quot;00F7554D&quot;/&gt;&lt;wsp:rsid wsp:val=&quot;00F75C89&quot;/&gt;&lt;wsp:rsid wsp:val=&quot;00F7679F&quot;/&gt;&lt;wsp:rsid wsp:val=&quot;00F77D64&quot;/&gt;&lt;wsp:rsid wsp:val=&quot;00F80B83&quot;/&gt;&lt;wsp:rsid wsp:val=&quot;00F8107F&quot;/&gt;&lt;wsp:rsid wsp:val=&quot;00F811BF&quot;/&gt;&lt;wsp:rsid wsp:val=&quot;00F8237C&quot;/&gt;&lt;wsp:rsid wsp:val=&quot;00F82E21&quot;/&gt;&lt;wsp:rsid wsp:val=&quot;00F831B4&quot;/&gt;&lt;wsp:rsid wsp:val=&quot;00F83DBA&quot;/&gt;&lt;wsp:rsid wsp:val=&quot;00F84499&quot;/&gt;&lt;wsp:rsid wsp:val=&quot;00F84E6D&quot;/&gt;&lt;wsp:rsid wsp:val=&quot;00F850F1&quot;/&gt;&lt;wsp:rsid wsp:val=&quot;00F85F6C&quot;/&gt;&lt;wsp:rsid wsp:val=&quot;00F90856&quot;/&gt;&lt;wsp:rsid wsp:val=&quot;00F90A2D&quot;/&gt;&lt;wsp:rsid wsp:val=&quot;00F90A7E&quot;/&gt;&lt;wsp:rsid wsp:val=&quot;00F918F2&quot;/&gt;&lt;wsp:rsid wsp:val=&quot;00F91EAA&quot;/&gt;&lt;wsp:rsid wsp:val=&quot;00F920D5&quot;/&gt;&lt;wsp:rsid wsp:val=&quot;00F921CE&quot;/&gt;&lt;wsp:rsid wsp:val=&quot;00F922C3&quot;/&gt;&lt;wsp:rsid wsp:val=&quot;00F925E7&quot;/&gt;&lt;wsp:rsid wsp:val=&quot;00F93070&quot;/&gt;&lt;wsp:rsid wsp:val=&quot;00F93412&quot;/&gt;&lt;wsp:rsid wsp:val=&quot;00F95BF7&quot;/&gt;&lt;wsp:rsid wsp:val=&quot;00F97EF4&quot;/&gt;&lt;wsp:rsid wsp:val=&quot;00FA01FD&quot;/&gt;&lt;wsp:rsid wsp:val=&quot;00FA1368&quot;/&gt;&lt;wsp:rsid wsp:val=&quot;00FA180C&quot;/&gt;&lt;wsp:rsid wsp:val=&quot;00FA2799&quot;/&gt;&lt;wsp:rsid wsp:val=&quot;00FA39CD&quot;/&gt;&lt;wsp:rsid wsp:val=&quot;00FA41C9&quot;/&gt;&lt;wsp:rsid wsp:val=&quot;00FA44A4&quot;/&gt;&lt;wsp:rsid wsp:val=&quot;00FA4F63&quot;/&gt;&lt;wsp:rsid wsp:val=&quot;00FA5634&quot;/&gt;&lt;wsp:rsid wsp:val=&quot;00FA56F3&quot;/&gt;&lt;wsp:rsid wsp:val=&quot;00FA5B9F&quot;/&gt;&lt;wsp:rsid wsp:val=&quot;00FA6082&quot;/&gt;&lt;wsp:rsid wsp:val=&quot;00FA65B1&quot;/&gt;&lt;wsp:rsid wsp:val=&quot;00FA66DC&quot;/&gt;&lt;wsp:rsid wsp:val=&quot;00FA6FB5&quot;/&gt;&lt;wsp:rsid wsp:val=&quot;00FA7235&quot;/&gt;&lt;wsp:rsid wsp:val=&quot;00FA78EA&quot;/&gt;&lt;wsp:rsid wsp:val=&quot;00FA7E49&quot;/&gt;&lt;wsp:rsid wsp:val=&quot;00FA7FAF&quot;/&gt;&lt;wsp:rsid wsp:val=&quot;00FB14D7&quot;/&gt;&lt;wsp:rsid wsp:val=&quot;00FB23DA&quot;/&gt;&lt;wsp:rsid wsp:val=&quot;00FB2B76&quot;/&gt;&lt;wsp:rsid wsp:val=&quot;00FB30D1&quot;/&gt;&lt;wsp:rsid wsp:val=&quot;00FB3B2D&quot;/&gt;&lt;wsp:rsid wsp:val=&quot;00FB3BE1&quot;/&gt;&lt;wsp:rsid wsp:val=&quot;00FB3EBA&quot;/&gt;&lt;wsp:rsid wsp:val=&quot;00FB4EB9&quot;/&gt;&lt;wsp:rsid wsp:val=&quot;00FB5F15&quot;/&gt;&lt;wsp:rsid wsp:val=&quot;00FB614E&quot;/&gt;&lt;wsp:rsid wsp:val=&quot;00FB6434&quot;/&gt;&lt;wsp:rsid wsp:val=&quot;00FB6D84&quot;/&gt;&lt;wsp:rsid wsp:val=&quot;00FB6E79&quot;/&gt;&lt;wsp:rsid wsp:val=&quot;00FB6F78&quot;/&gt;&lt;wsp:rsid wsp:val=&quot;00FB7603&quot;/&gt;&lt;wsp:rsid wsp:val=&quot;00FB7728&quot;/&gt;&lt;wsp:rsid wsp:val=&quot;00FC00AD&quot;/&gt;&lt;wsp:rsid wsp:val=&quot;00FC0298&quot;/&gt;&lt;wsp:rsid wsp:val=&quot;00FC037C&quot;/&gt;&lt;wsp:rsid wsp:val=&quot;00FC1726&quot;/&gt;&lt;wsp:rsid wsp:val=&quot;00FC1BC2&quot;/&gt;&lt;wsp:rsid wsp:val=&quot;00FC255B&quot;/&gt;&lt;wsp:rsid wsp:val=&quot;00FC29BF&quot;/&gt;&lt;wsp:rsid wsp:val=&quot;00FC2B58&quot;/&gt;&lt;wsp:rsid wsp:val=&quot;00FC2F67&quot;/&gt;&lt;wsp:rsid wsp:val=&quot;00FC36E7&quot;/&gt;&lt;wsp:rsid wsp:val=&quot;00FC5D4E&quot;/&gt;&lt;wsp:rsid wsp:val=&quot;00FC6864&quot;/&gt;&lt;wsp:rsid wsp:val=&quot;00FC6FD4&quot;/&gt;&lt;wsp:rsid wsp:val=&quot;00FC7432&quot;/&gt;&lt;wsp:rsid wsp:val=&quot;00FC7BD9&quot;/&gt;&lt;wsp:rsid wsp:val=&quot;00FC7EF5&quot;/&gt;&lt;wsp:rsid wsp:val=&quot;00FD0072&quot;/&gt;&lt;wsp:rsid wsp:val=&quot;00FD09A4&quot;/&gt;&lt;wsp:rsid wsp:val=&quot;00FD1835&quot;/&gt;&lt;wsp:rsid wsp:val=&quot;00FD1D92&quot;/&gt;&lt;wsp:rsid wsp:val=&quot;00FD3510&quot;/&gt;&lt;wsp:rsid wsp:val=&quot;00FD3DF2&quot;/&gt;&lt;wsp:rsid wsp:val=&quot;00FD4050&quot;/&gt;&lt;wsp:rsid wsp:val=&quot;00FD5113&quot;/&gt;&lt;wsp:rsid wsp:val=&quot;00FD59A9&quot;/&gt;&lt;wsp:rsid wsp:val=&quot;00FD5E63&quot;/&gt;&lt;wsp:rsid wsp:val=&quot;00FD62B1&quot;/&gt;&lt;wsp:rsid wsp:val=&quot;00FD66D8&quot;/&gt;&lt;wsp:rsid wsp:val=&quot;00FD771C&quot;/&gt;&lt;wsp:rsid wsp:val=&quot;00FD7991&quot;/&gt;&lt;wsp:rsid wsp:val=&quot;00FE01B4&quot;/&gt;&lt;wsp:rsid wsp:val=&quot;00FE0903&quot;/&gt;&lt;wsp:rsid wsp:val=&quot;00FE0B78&quot;/&gt;&lt;wsp:rsid wsp:val=&quot;00FE2BF2&quot;/&gt;&lt;wsp:rsid wsp:val=&quot;00FE2D4F&quot;/&gt;&lt;wsp:rsid wsp:val=&quot;00FE3437&quot;/&gt;&lt;wsp:rsid wsp:val=&quot;00FE37DF&quot;/&gt;&lt;wsp:rsid wsp:val=&quot;00FE48D1&quot;/&gt;&lt;wsp:rsid wsp:val=&quot;00FE5CBC&quot;/&gt;&lt;wsp:rsid wsp:val=&quot;00FE674D&quot;/&gt;&lt;wsp:rsid wsp:val=&quot;00FE6E85&quot;/&gt;&lt;wsp:rsid wsp:val=&quot;00FF313E&quot;/&gt;&lt;wsp:rsid wsp:val=&quot;00FF319E&quot;/&gt;&lt;wsp:rsid wsp:val=&quot;00FF53AC&quot;/&gt;&lt;wsp:rsid wsp:val=&quot;00FF5558&quot;/&gt;&lt;wsp:rsid wsp:val=&quot;00FF7352&quot;/&gt;&lt;wsp:rsid wsp:val=&quot;00FF7793&quot;/&gt;&lt;wsp:rsid wsp:val=&quot;168E458F&quot;/&gt;&lt;wsp:rsid wsp:val=&quot;5CD76573&quot;/&gt;&lt;wsp:rsid wsp:val=&quot;62B81204&quot;/&gt;&lt;/wsp:rsids&gt;&lt;/w:docPr&gt;&lt;w:body&gt;&lt;w:p wsp:rsidR=&quot;00000000&quot; wsp:rsidRDefault=&quot;00B11594&quot;&gt;&lt;m:oMathPara&gt;&lt;m:oMath&gt;&lt;m:f&gt;&lt;m:fPr&gt;&lt;m:ctrlPr&gt;&lt;w:rPr&gt;&lt;w:rFonts w:ascii=&quot;Cambria Math&quot;/&gt;&lt;wx:font wx:val=&quot;Cambria Math&quot;/&gt;&lt;w:sz w:val=&quot;28&quot;/&gt;&lt;w:sz-cs w:val=&quot;28&quot;/&gt;&lt;/w:rPr&gt;&lt;/m:ctrlPr&gt;&lt;/m:fPr&gt;&lt;m:num&gt;&lt;m:sSub&gt;&lt;m:sSubPr&gt;&lt;m:ctrlPr&gt;&lt;w:rPr&gt;&lt;w:rFonts w:asci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q&lt;/m:t&gt;&lt;/m:r&gt;&lt;/m:e&gt;&lt;m:sub&gt;&lt;m:r&gt;&lt;m:rPr&gt;&lt;m:sty m:val=&quot;p&quot;/&gt;&lt;/m:rPr&gt;&lt;w:rPr&gt;&lt;w:rFonts w:ascii=&quot;Cambria Math&quot;/&gt;&lt;wx:font wx:val=&quot;Cambria Math&quot;/&gt;&lt;w:sz w:val=&quot;28&quot;/&gt;&lt;w:sz-cs w:val=&quot;28&quot;/&gt;&lt;/w:rPr&gt;&lt;m:t&gt;4&lt;/m:t&gt;&lt;/m:r&gt;&lt;/m:sub&gt;&lt;/m:sSub&gt;&lt;m:r&gt;&lt;m:rPr&gt;&lt;m:sty m:val=&quot;p&quot;/&gt;&lt;/m:rPr&gt;&lt;w:rPr&gt;&lt;w:sz w:val=&quot;28&quot;/&gt;&lt;w:sz-cs w:val=&quot;28&quot;/&gt;&lt;/w:rPr&gt;&lt;m:t&gt;×&lt;/m:t&gt;&lt;/m:r&gt;&lt;m:sSub&gt;&lt;m:sSubPr&gt;&lt;m:ctrlPr&gt;&lt;w:rPr&gt;&lt;w:rFonts w:ascii=&quot;Cambria Math&quot;/&gt;&lt;wx:font wx:val=&quot;Cambria Math&quot;/&gt;&lt;w:sz w:val=&quot;28&quot;/&gt;&lt;w:sz-cs w:val=&quot;28&quot;/&gt;&lt;/w:rPr&gt;&lt;/m:ctrlPr&gt;&lt;/m:sSubPr==========================&gt;&lt;pm:e&gt;&lt;m:r&gt;&lt;m:rPr&gt;&lt;m:sty m:val=&quot;p&quot;/&gt;&lt;/m:rPr&gt;&lt;w:rPr&gt;&lt;w:rFonts w:ascii=&quot;Cambria Math&quot;/&gt;&lt;wx:font wx:val=&quot;Cambria Math&quot;/&gt;&lt;w:sz w:val=&quot;28&quot;/&gt;&lt;w:sz-cs w:val=&quot;28&quot;/&gt;&lt;/w:rPr&gt;&lt;m:t&gt;Q&lt;/m:t&gt;&lt;/m:r&gt;&lt;/m:e&gt;&lt;m:sub&gt;&lt;m:r&gt;&lt;m:rPr&gt;&lt;m:sty m:val=&quot;p&quot;/&gt;&lt;/m:rPr&gt;&lt;w:rPr&gt;&lt;w:rFonts w:ascii=&quot;Cambria Math&quot;/&gt;&lt;wx:font wx:val=&quot;Cambria Math&quot;/&gt;&lt;w:sz w:val=&quot;28&quot;/&gt;&lt;w:sz-cs w:val=&quot;28&quot;/&gt;&lt;/w:rPr&gt;&lt;m:t&gt;net&lt;/m:t&gt;&lt;/m:r&gt;&lt;m:r&gt;&lt;m:rPr&gt;&lt;m:sty m:val=&quot;p&quot;/&gt;&lt;/m:rPr&gt;&lt;w:rPr&gt;&lt;wx:font wx:val=&quot;宋体&quot;/&gt;&lt;w:sz w:val=&quot;28&quot;/&gt;&lt;w:sz-cs w:val=&quot;28&quot;/&gt;&lt;/wm:::rrrPPPrrr&gt;&gt;&gt;&lt;&lt;&lt;wmw:::rtrP&gt;Pr?r&gt;瑀&gt;&lt;&lt;&gt;&lt;w/&lt;w:mw:r::rFtrFo&gt;Fon&lt;ont/ntsmts :s wr w:&gt;w:a&lt;:asm:rcii&gt;&lt;m:rPr&gt;&lt;m:sty m:val=&quot;p&quot;/&gt;&lt;/m:rPr&gt;&lt;w:rPr&gt;&lt;w:rFonts w:ascii=&quot;Cambria Math&quot;/&gt;&lt;wx:font wx:val=&quot;Cambria Math&quot;/&gt;&lt;w:sz w:val=&quot;28&quot;/&gt;&lt;w:sz-cs w:val=&quot;28&quot;/&gt;&lt;/w:rPr&gt;&lt;m:t&gt;a:r&lt;/rm:tP&gt;&lt;/rm:r&gt;&gt;&lt;/&lt;m:swub&gt;:&lt;/mr:sSPub&gt;r&lt;/m&gt;:num&gt;&lt;m:den&gt;&lt;m:r&gt;&lt;m:rPr&gt;&lt;m:sty m:val=&quot;p&quot;/&gt;&lt;/m:rPr&gt;&lt;w:rPr&gt;&lt;w:rFonts w:ascii=&quot;Cambria Math&quot;/&gt;&lt;wx:font wx:val=&quot;Cambria Math&quot;/&gt;&lt;w:sz w:val=&quot;28&quot;/&gt;&lt;w:sz-cs w:val=&quot;28&quot;/&gt;&lt;/w:rPr&gt;&lt;m:t&gt;100&lt;/m:t&gt;&lt;/m:r&gt;&lt;m:r&gt;&lt;m:rPr&gt;&lt;m:sty m:val=&quot;p&quot;/&gt;&lt;/m:rPr&gt;&lt;w:rPr&gt;&lt;w:sz w:val=&quot;28&quot;/&gt;&lt;w:sz-cs w:val=&quot;28&quot;/&gt;&lt;/w:rPr&gt;&lt;m:t&gt;×&lt;/lm:t&gt;&quot;&lt;/m:/r&gt;&lt;mP:r&gt;&lt;wm:rPrr&gt;&lt;m:sFty m:val=&quot;p&quot;/&gt;&lt;/m:rPr&gt;&lt;w:rPr&gt;&lt;w:rFonts w:ascii=&quot;Cambria Math&quot;/&gt;&lt;wx:font wx:val=&quot;Cambria Math&quot;/&gt;&lt;w:sz w:val=&quot;28&quot;/&gt;&lt;w:sz-cs w:val=&quot;28&quot;/&gt;&lt;/w:rPr&gt;:&lt;m:t=&gt;338/70&lt;/mm:t&gt;r&lt;/m::r&gt;&lt;/&gt;m:desn&gt;&lt;/:m:f&gt;=&lt;/m:&quot;oMatwh&gt;&lt;/-m:oMwathPlara&gt;8&lt;/w:&lt;p&gt;&lt;wr:sec&lt;tPr &gt;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v:imagedata r:id="rId46" chromakey="#FFFFFF" o:title=""/>
                  <o:lock v:ext="edit" aspectratio="t"/>
                  <w10:wrap type="none"/>
                  <w10:anchorlock/>
                </v:shape>
              </w:pict>
            </w:r>
            <w:r>
              <w:rPr>
                <w:rFonts w:hint="default" w:ascii="Times New Roman" w:hAnsi="Times New Roman" w:cs="Times New Roman"/>
                <w:b w:val="0"/>
                <w:bCs w:val="0"/>
                <w:color w:val="auto"/>
                <w:sz w:val="24"/>
                <w:szCs w:val="24"/>
                <w:highlight w:val="none"/>
              </w:rPr>
              <w:instrText xml:space="preserve"> </w:instrText>
            </w:r>
            <w:r>
              <w:rPr>
                <w:rFonts w:hint="default" w:ascii="Times New Roman" w:hAnsi="Times New Roman" w:cs="Times New Roman"/>
                <w:b w:val="0"/>
                <w:bCs w:val="0"/>
                <w:color w:val="auto"/>
                <w:sz w:val="24"/>
                <w:szCs w:val="24"/>
                <w:highlight w:val="none"/>
              </w:rPr>
              <w:fldChar w:fldCharType="end"/>
            </w:r>
            <m:oMath>
              <m:f>
                <m:fPr>
                  <m:ctrlPr>
                    <w:rPr>
                      <w:rFonts w:hint="default" w:ascii="Cambria Math" w:hAnsi="Cambria Math" w:cs="Times New Roman"/>
                      <w:b w:val="0"/>
                      <w:bCs w:val="0"/>
                      <w:color w:val="auto"/>
                      <w:sz w:val="24"/>
                      <w:szCs w:val="24"/>
                      <w:highlight w:val="none"/>
                    </w:rPr>
                  </m:ctrlPr>
                </m:fPr>
                <m:num>
                  <m:sSub>
                    <m:sSubPr>
                      <m:ctrlPr>
                        <w:rPr>
                          <w:rFonts w:hint="default" w:ascii="Cambria Math" w:hAnsi="Cambria Math" w:cs="Times New Roman"/>
                          <w:b w:val="0"/>
                          <w:bCs w:val="0"/>
                          <w:color w:val="auto"/>
                          <w:sz w:val="24"/>
                          <w:szCs w:val="24"/>
                          <w:highlight w:val="none"/>
                        </w:rPr>
                      </m:ctrlPr>
                    </m:sSubPr>
                    <m:e>
                      <m:r>
                        <m:rPr>
                          <m:sty m:val="p"/>
                        </m:rPr>
                        <w:rPr>
                          <w:rFonts w:hint="default" w:ascii="Cambria Math" w:hAnsi="Cambria Math" w:cs="Times New Roman"/>
                          <w:color w:val="auto"/>
                          <w:sz w:val="24"/>
                          <w:szCs w:val="24"/>
                          <w:highlight w:val="none"/>
                        </w:rPr>
                        <m:t>q</m:t>
                      </m:r>
                      <m:ctrlPr>
                        <w:rPr>
                          <w:rFonts w:hint="default" w:ascii="Cambria Math" w:hAnsi="Cambria Math" w:cs="Times New Roman"/>
                          <w:b w:val="0"/>
                          <w:bCs w:val="0"/>
                          <w:color w:val="auto"/>
                          <w:sz w:val="24"/>
                          <w:szCs w:val="24"/>
                          <w:highlight w:val="none"/>
                        </w:rPr>
                      </m:ctrlPr>
                    </m:e>
                    <m:sub>
                      <m:r>
                        <m:rPr>
                          <m:sty m:val="p"/>
                        </m:rPr>
                        <w:rPr>
                          <w:rFonts w:hint="default" w:ascii="Cambria Math" w:hAnsi="Cambria Math" w:cs="Times New Roman"/>
                          <w:color w:val="auto"/>
                          <w:sz w:val="24"/>
                          <w:szCs w:val="24"/>
                          <w:highlight w:val="none"/>
                        </w:rPr>
                        <m:t>4</m:t>
                      </m:r>
                      <m:ctrlPr>
                        <w:rPr>
                          <w:rFonts w:hint="default" w:ascii="Cambria Math" w:hAnsi="Cambria Math" w:cs="Times New Roman"/>
                          <w:b w:val="0"/>
                          <w:bCs w:val="0"/>
                          <w:color w:val="auto"/>
                          <w:sz w:val="24"/>
                          <w:szCs w:val="24"/>
                          <w:highlight w:val="none"/>
                        </w:rPr>
                      </m:ctrlPr>
                    </m:sub>
                  </m:sSub>
                  <m:r>
                    <m:rPr>
                      <m:sty m:val="p"/>
                    </m:rPr>
                    <w:rPr>
                      <w:rFonts w:hint="default" w:ascii="Cambria Math" w:hAnsi="Cambria Math" w:cs="Times New Roman"/>
                      <w:color w:val="auto"/>
                      <w:sz w:val="24"/>
                      <w:szCs w:val="24"/>
                      <w:highlight w:val="none"/>
                    </w:rPr>
                    <m:t>×</m:t>
                  </m:r>
                  <m:sSub>
                    <m:sSubPr>
                      <m:ctrlPr>
                        <w:rPr>
                          <w:rFonts w:hint="default" w:ascii="Cambria Math" w:hAnsi="Cambria Math" w:cs="Times New Roman"/>
                          <w:b w:val="0"/>
                          <w:bCs w:val="0"/>
                          <w:color w:val="auto"/>
                          <w:sz w:val="24"/>
                          <w:szCs w:val="24"/>
                          <w:highlight w:val="none"/>
                        </w:rPr>
                      </m:ctrlPr>
                    </m:sSubPr>
                    <m:e>
                      <m:r>
                        <m:rPr>
                          <m:sty m:val="p"/>
                        </m:rPr>
                        <w:rPr>
                          <w:rFonts w:hint="default" w:ascii="Cambria Math" w:hAnsi="Cambria Math" w:cs="Times New Roman"/>
                          <w:color w:val="auto"/>
                          <w:sz w:val="24"/>
                          <w:szCs w:val="24"/>
                          <w:highlight w:val="none"/>
                        </w:rPr>
                        <m:t>Q</m:t>
                      </m:r>
                      <m:ctrlPr>
                        <w:rPr>
                          <w:rFonts w:hint="default" w:ascii="Cambria Math" w:hAnsi="Cambria Math" w:cs="Times New Roman"/>
                          <w:b w:val="0"/>
                          <w:bCs w:val="0"/>
                          <w:color w:val="auto"/>
                          <w:sz w:val="24"/>
                          <w:szCs w:val="24"/>
                          <w:highlight w:val="none"/>
                        </w:rPr>
                      </m:ctrlPr>
                    </m:e>
                    <m:sub>
                      <m:r>
                        <m:rPr>
                          <m:sty m:val="p"/>
                        </m:rPr>
                        <w:rPr>
                          <w:rFonts w:hint="default" w:ascii="Cambria Math" w:hAnsi="Cambria Math" w:cs="Times New Roman"/>
                          <w:color w:val="auto"/>
                          <w:sz w:val="24"/>
                          <w:szCs w:val="24"/>
                          <w:highlight w:val="none"/>
                        </w:rPr>
                        <m:t>net，ar</m:t>
                      </m:r>
                      <m:ctrlPr>
                        <w:rPr>
                          <w:rFonts w:hint="default" w:ascii="Cambria Math" w:hAnsi="Cambria Math" w:cs="Times New Roman"/>
                          <w:b w:val="0"/>
                          <w:bCs w:val="0"/>
                          <w:color w:val="auto"/>
                          <w:sz w:val="24"/>
                          <w:szCs w:val="24"/>
                          <w:highlight w:val="none"/>
                        </w:rPr>
                      </m:ctrlPr>
                    </m:sub>
                  </m:sSub>
                  <m:ctrlPr>
                    <w:rPr>
                      <w:rFonts w:hint="default" w:ascii="Cambria Math" w:hAnsi="Cambria Math" w:cs="Times New Roman"/>
                      <w:b w:val="0"/>
                      <w:bCs w:val="0"/>
                      <w:color w:val="auto"/>
                      <w:sz w:val="24"/>
                      <w:szCs w:val="24"/>
                      <w:highlight w:val="none"/>
                    </w:rPr>
                  </m:ctrlPr>
                </m:num>
                <m:den>
                  <m:r>
                    <m:rPr>
                      <m:sty m:val="p"/>
                    </m:rPr>
                    <w:rPr>
                      <w:rFonts w:hint="default" w:ascii="Cambria Math" w:hAnsi="Cambria Math" w:cs="Times New Roman"/>
                      <w:color w:val="auto"/>
                      <w:sz w:val="24"/>
                      <w:szCs w:val="24"/>
                      <w:highlight w:val="none"/>
                    </w:rPr>
                    <m:t>100×33870</m:t>
                  </m:r>
                  <m:ctrlPr>
                    <w:rPr>
                      <w:rFonts w:hint="default" w:ascii="Cambria Math" w:hAnsi="Cambria Math" w:cs="Times New Roman"/>
                      <w:b w:val="0"/>
                      <w:bCs w:val="0"/>
                      <w:color w:val="auto"/>
                      <w:sz w:val="24"/>
                      <w:szCs w:val="24"/>
                      <w:highlight w:val="none"/>
                    </w:rPr>
                  </m:ctrlPr>
                </m:den>
              </m:f>
            </m:oMath>
            <w:r>
              <w:rPr>
                <w:rFonts w:hint="default" w:ascii="Times New Roman" w:hAnsi="Times New Roman" w:cs="Times New Roman"/>
                <w:b w:val="0"/>
                <w:bCs w:val="0"/>
                <w:color w:val="auto"/>
                <w:sz w:val="24"/>
                <w:szCs w:val="24"/>
                <w:highlight w:val="none"/>
              </w:rPr>
              <w:t>）</w:t>
            </w:r>
          </w:p>
          <w:p>
            <w:pPr>
              <w:widowControl/>
              <w:spacing w:before="60" w:after="120" w:line="360" w:lineRule="auto"/>
              <w:ind w:right="113"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式中：E</w:t>
            </w:r>
            <w:r>
              <w:rPr>
                <w:rFonts w:hint="default" w:ascii="Times New Roman" w:hAnsi="Times New Roman" w:cs="Times New Roman"/>
                <w:b w:val="0"/>
                <w:bCs w:val="0"/>
                <w:color w:val="auto"/>
                <w:sz w:val="24"/>
                <w:szCs w:val="24"/>
                <w:highlight w:val="none"/>
                <w:vertAlign w:val="subscript"/>
              </w:rPr>
              <w:t>hc</w:t>
            </w:r>
            <w:r>
              <w:rPr>
                <w:rFonts w:hint="default" w:ascii="Times New Roman" w:hAnsi="Times New Roman" w:cs="Times New Roman"/>
                <w:b w:val="0"/>
                <w:bCs w:val="0"/>
                <w:color w:val="auto"/>
                <w:sz w:val="24"/>
                <w:szCs w:val="24"/>
                <w:highlight w:val="none"/>
              </w:rPr>
              <w:t>----核算时段内灰渣产生量，t；</w:t>
            </w:r>
          </w:p>
          <w:p>
            <w:pPr>
              <w:widowControl/>
              <w:spacing w:before="60" w:after="120" w:line="360" w:lineRule="auto"/>
              <w:ind w:right="113" w:firstLine="1200" w:firstLineChars="5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R----核算时段内锅炉燃料耗量，</w:t>
            </w:r>
            <w:r>
              <w:rPr>
                <w:rFonts w:hint="eastAsia" w:cs="Times New Roman"/>
                <w:b w:val="0"/>
                <w:bCs w:val="0"/>
                <w:color w:val="auto"/>
                <w:sz w:val="24"/>
                <w:szCs w:val="24"/>
                <w:highlight w:val="none"/>
                <w:lang w:val="en-US" w:eastAsia="zh-CN"/>
              </w:rPr>
              <w:t>1665</w:t>
            </w:r>
            <w:r>
              <w:rPr>
                <w:rFonts w:hint="default" w:ascii="Times New Roman" w:hAnsi="Times New Roman" w:cs="Times New Roman"/>
                <w:b w:val="0"/>
                <w:bCs w:val="0"/>
                <w:color w:val="auto"/>
                <w:sz w:val="24"/>
                <w:szCs w:val="24"/>
                <w:highlight w:val="none"/>
              </w:rPr>
              <w:t>t；</w:t>
            </w:r>
          </w:p>
          <w:p>
            <w:pPr>
              <w:widowControl/>
              <w:spacing w:before="60" w:after="120" w:line="360" w:lineRule="auto"/>
              <w:ind w:right="113" w:firstLine="1200" w:firstLineChars="5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A</w:t>
            </w:r>
            <w:r>
              <w:rPr>
                <w:rFonts w:hint="default" w:ascii="Times New Roman" w:hAnsi="Times New Roman" w:cs="Times New Roman"/>
                <w:b w:val="0"/>
                <w:bCs w:val="0"/>
                <w:color w:val="auto"/>
                <w:sz w:val="24"/>
                <w:szCs w:val="24"/>
                <w:highlight w:val="none"/>
                <w:vertAlign w:val="subscript"/>
              </w:rPr>
              <w:t>ar</w:t>
            </w:r>
            <w:r>
              <w:rPr>
                <w:rFonts w:hint="default" w:ascii="Times New Roman" w:hAnsi="Times New Roman" w:cs="Times New Roman"/>
                <w:b w:val="0"/>
                <w:bCs w:val="0"/>
                <w:color w:val="auto"/>
                <w:sz w:val="24"/>
                <w:szCs w:val="24"/>
                <w:highlight w:val="none"/>
              </w:rPr>
              <w:t>----收到基灰分的质量分数，%；</w:t>
            </w:r>
            <w:r>
              <w:rPr>
                <w:rFonts w:hint="default" w:ascii="Times New Roman" w:hAnsi="Times New Roman" w:cs="Times New Roman"/>
                <w:b w:val="0"/>
                <w:bCs w:val="0"/>
                <w:color w:val="auto"/>
                <w:sz w:val="24"/>
                <w:szCs w:val="24"/>
                <w:highlight w:val="none"/>
                <w:lang w:val="en-US" w:eastAsia="zh-CN"/>
              </w:rPr>
              <w:t>3.06</w:t>
            </w:r>
            <w:r>
              <w:rPr>
                <w:rFonts w:hint="default" w:ascii="Times New Roman" w:hAnsi="Times New Roman" w:cs="Times New Roman"/>
                <w:b w:val="0"/>
                <w:bCs w:val="0"/>
                <w:color w:val="auto"/>
                <w:sz w:val="24"/>
                <w:szCs w:val="24"/>
                <w:highlight w:val="none"/>
              </w:rPr>
              <w:t>%；</w:t>
            </w:r>
          </w:p>
          <w:p>
            <w:pPr>
              <w:widowControl/>
              <w:spacing w:before="60" w:after="120" w:line="360" w:lineRule="auto"/>
              <w:ind w:right="113" w:firstLine="1200" w:firstLineChars="5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q</w:t>
            </w:r>
            <w:r>
              <w:rPr>
                <w:rFonts w:hint="default" w:ascii="Times New Roman" w:hAnsi="Times New Roman" w:cs="Times New Roman"/>
                <w:b w:val="0"/>
                <w:bCs w:val="0"/>
                <w:color w:val="auto"/>
                <w:sz w:val="24"/>
                <w:szCs w:val="24"/>
                <w:highlight w:val="none"/>
                <w:vertAlign w:val="subscript"/>
              </w:rPr>
              <w:t>4</w:t>
            </w:r>
            <w:r>
              <w:rPr>
                <w:rFonts w:hint="default" w:ascii="Times New Roman" w:hAnsi="Times New Roman" w:cs="Times New Roman"/>
                <w:b w:val="0"/>
                <w:bCs w:val="0"/>
                <w:color w:val="auto"/>
                <w:sz w:val="24"/>
                <w:szCs w:val="24"/>
                <w:highlight w:val="none"/>
              </w:rPr>
              <w:t>----锅炉机械不完全燃烧热损失，</w:t>
            </w:r>
            <w:r>
              <w:rPr>
                <w:rFonts w:hint="default" w:ascii="Times New Roman" w:hAnsi="Times New Roman" w:cs="Times New Roman"/>
                <w:b w:val="0"/>
                <w:bCs w:val="0"/>
                <w:color w:val="auto"/>
                <w:sz w:val="24"/>
                <w:szCs w:val="24"/>
                <w:highlight w:val="none"/>
                <w:lang w:val="en-US" w:eastAsia="zh-CN"/>
              </w:rPr>
              <w:t>10</w:t>
            </w:r>
            <w:r>
              <w:rPr>
                <w:rFonts w:hint="default" w:ascii="Times New Roman" w:hAnsi="Times New Roman" w:cs="Times New Roman"/>
                <w:b w:val="0"/>
                <w:bCs w:val="0"/>
                <w:color w:val="auto"/>
                <w:sz w:val="24"/>
                <w:szCs w:val="24"/>
                <w:highlight w:val="none"/>
              </w:rPr>
              <w:t>%；</w:t>
            </w:r>
          </w:p>
          <w:p>
            <w:pPr>
              <w:widowControl/>
              <w:spacing w:before="60" w:after="120" w:line="360" w:lineRule="auto"/>
              <w:ind w:right="113" w:firstLine="1200" w:firstLineChars="5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Q</w:t>
            </w:r>
            <w:r>
              <w:rPr>
                <w:rFonts w:hint="default" w:ascii="Times New Roman" w:hAnsi="Times New Roman" w:cs="Times New Roman"/>
                <w:b w:val="0"/>
                <w:bCs w:val="0"/>
                <w:color w:val="auto"/>
                <w:sz w:val="24"/>
                <w:szCs w:val="24"/>
                <w:highlight w:val="none"/>
                <w:vertAlign w:val="subscript"/>
              </w:rPr>
              <w:t>net，ar</w:t>
            </w:r>
            <w:r>
              <w:rPr>
                <w:rFonts w:hint="default" w:ascii="Times New Roman" w:hAnsi="Times New Roman" w:cs="Times New Roman"/>
                <w:b w:val="0"/>
                <w:bCs w:val="0"/>
                <w:color w:val="auto"/>
                <w:sz w:val="24"/>
                <w:szCs w:val="24"/>
                <w:highlight w:val="none"/>
              </w:rPr>
              <w:t>----收到基低位发热量，</w:t>
            </w:r>
            <w:r>
              <w:rPr>
                <w:rFonts w:hint="default" w:ascii="Times New Roman" w:hAnsi="Times New Roman" w:cs="Times New Roman"/>
                <w:b w:val="0"/>
                <w:bCs w:val="0"/>
                <w:color w:val="auto"/>
                <w:sz w:val="24"/>
                <w:szCs w:val="24"/>
                <w:highlight w:val="none"/>
                <w:lang w:val="en-US" w:eastAsia="zh-CN"/>
              </w:rPr>
              <w:t>9.58</w:t>
            </w:r>
            <w:r>
              <w:rPr>
                <w:rFonts w:hint="default" w:ascii="Times New Roman" w:hAnsi="Times New Roman" w:cs="Times New Roman"/>
                <w:b w:val="0"/>
                <w:bCs w:val="0"/>
                <w:color w:val="auto"/>
                <w:sz w:val="24"/>
                <w:szCs w:val="24"/>
                <w:highlight w:val="none"/>
              </w:rPr>
              <w:t>MJ/kg；</w:t>
            </w:r>
          </w:p>
          <w:p>
            <w:pPr>
              <w:widowControl w:val="0"/>
              <w:spacing w:line="360" w:lineRule="auto"/>
              <w:ind w:left="0" w:leftChars="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E</w:t>
            </w:r>
            <w:r>
              <w:rPr>
                <w:rFonts w:hint="default" w:ascii="Times New Roman" w:hAnsi="Times New Roman" w:eastAsia="宋体" w:cs="Times New Roman"/>
                <w:b w:val="0"/>
                <w:bCs w:val="0"/>
                <w:color w:val="auto"/>
                <w:kern w:val="2"/>
                <w:sz w:val="24"/>
                <w:szCs w:val="24"/>
                <w:highlight w:val="none"/>
                <w:vertAlign w:val="subscript"/>
                <w:lang w:val="en-US" w:eastAsia="zh-CN" w:bidi="ar-SA"/>
              </w:rPr>
              <w:t>hc</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1665</w:t>
            </w:r>
            <w:r>
              <w:rPr>
                <w:rFonts w:hint="default" w:ascii="Times New Roman" w:hAnsi="Times New Roman" w:eastAsia="宋体" w:cs="Times New Roman"/>
                <w:b w:val="0"/>
                <w:bCs w:val="0"/>
                <w:color w:val="auto"/>
                <w:kern w:val="2"/>
                <w:sz w:val="24"/>
                <w:szCs w:val="24"/>
                <w:highlight w:val="none"/>
                <w:lang w:val="en-US" w:eastAsia="zh-CN" w:bidi="ar-SA"/>
              </w:rPr>
              <w:t>×（3.06/100+</w:t>
            </w:r>
            <w:r>
              <w:rPr>
                <w:rFonts w:hint="default" w:ascii="Times New Roman" w:hAnsi="Times New Roman" w:cs="Times New Roman"/>
                <w:b w:val="0"/>
                <w:bCs w:val="0"/>
                <w:color w:val="auto"/>
                <w:kern w:val="2"/>
                <w:sz w:val="24"/>
                <w:szCs w:val="24"/>
                <w:highlight w:val="none"/>
                <w:lang w:val="en-US" w:eastAsia="zh-CN" w:bidi="ar-SA"/>
              </w:rPr>
              <w:t>10</w:t>
            </w:r>
            <w:r>
              <w:rPr>
                <w:rFonts w:hint="default" w:ascii="Times New Roman" w:hAnsi="Times New Roman" w:eastAsia="宋体" w:cs="Times New Roman"/>
                <w:b w:val="0"/>
                <w:bCs w:val="0"/>
                <w:color w:val="auto"/>
                <w:kern w:val="2"/>
                <w:sz w:val="24"/>
                <w:szCs w:val="24"/>
                <w:highlight w:val="none"/>
                <w:lang w:val="en-US" w:eastAsia="zh-CN" w:bidi="ar-SA"/>
              </w:rPr>
              <w:t>×9580/100/33870）=</w:t>
            </w:r>
            <w:r>
              <w:rPr>
                <w:rFonts w:hint="eastAsia" w:cs="Times New Roman"/>
                <w:b w:val="0"/>
                <w:bCs w:val="0"/>
                <w:color w:val="auto"/>
                <w:kern w:val="2"/>
                <w:sz w:val="24"/>
                <w:szCs w:val="24"/>
                <w:highlight w:val="none"/>
                <w:lang w:val="en-US" w:eastAsia="zh-CN" w:bidi="ar-SA"/>
              </w:rPr>
              <w:t>98.0</w:t>
            </w:r>
            <w:r>
              <w:rPr>
                <w:rFonts w:hint="default" w:ascii="Times New Roman" w:hAnsi="Times New Roman" w:eastAsia="宋体" w:cs="Times New Roman"/>
                <w:b w:val="0"/>
                <w:bCs w:val="0"/>
                <w:color w:val="auto"/>
                <w:kern w:val="2"/>
                <w:sz w:val="24"/>
                <w:szCs w:val="24"/>
                <w:highlight w:val="none"/>
                <w:lang w:val="en-US" w:eastAsia="zh-CN" w:bidi="ar-SA"/>
              </w:rPr>
              <w:t>t</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锅炉灰渣产生量为</w:t>
            </w:r>
            <w:r>
              <w:rPr>
                <w:rFonts w:hint="eastAsia" w:cs="Times New Roman"/>
                <w:b w:val="0"/>
                <w:bCs w:val="0"/>
                <w:color w:val="auto"/>
                <w:sz w:val="24"/>
                <w:szCs w:val="24"/>
                <w:highlight w:val="none"/>
                <w:lang w:val="en-US" w:eastAsia="zh-CN"/>
              </w:rPr>
              <w:t>98.0</w:t>
            </w:r>
            <w:r>
              <w:rPr>
                <w:rFonts w:hint="default" w:ascii="Times New Roman" w:hAnsi="Times New Roman" w:cs="Times New Roman"/>
                <w:b w:val="0"/>
                <w:bCs w:val="0"/>
                <w:color w:val="auto"/>
                <w:sz w:val="24"/>
                <w:szCs w:val="24"/>
                <w:highlight w:val="none"/>
              </w:rPr>
              <w:t>t/a，布袋除尘器</w:t>
            </w:r>
            <w:r>
              <w:rPr>
                <w:rFonts w:hint="default" w:ascii="Times New Roman" w:hAnsi="Times New Roman" w:cs="Times New Roman"/>
                <w:b w:val="0"/>
                <w:bCs w:val="0"/>
                <w:color w:val="auto"/>
                <w:sz w:val="24"/>
                <w:szCs w:val="24"/>
                <w:highlight w:val="none"/>
                <w:lang w:eastAsia="zh-CN"/>
              </w:rPr>
              <w:t>收尘</w:t>
            </w:r>
            <w:r>
              <w:rPr>
                <w:rFonts w:hint="default" w:ascii="Times New Roman" w:hAnsi="Times New Roman" w:cs="Times New Roman"/>
                <w:b w:val="0"/>
                <w:bCs w:val="0"/>
                <w:color w:val="auto"/>
                <w:sz w:val="24"/>
                <w:szCs w:val="24"/>
                <w:highlight w:val="none"/>
              </w:rPr>
              <w:t>量为</w:t>
            </w:r>
            <w:r>
              <w:rPr>
                <w:rFonts w:hint="eastAsia" w:cs="Times New Roman"/>
                <w:b w:val="0"/>
                <w:bCs w:val="0"/>
                <w:color w:val="auto"/>
                <w:sz w:val="24"/>
                <w:szCs w:val="24"/>
                <w:highlight w:val="none"/>
                <w:lang w:val="en-US" w:eastAsia="zh-CN"/>
              </w:rPr>
              <w:t>26.8</w:t>
            </w:r>
            <w:r>
              <w:rPr>
                <w:rFonts w:hint="default" w:ascii="Times New Roman" w:hAnsi="Times New Roman" w:cs="Times New Roman"/>
                <w:b w:val="0"/>
                <w:bCs w:val="0"/>
                <w:color w:val="auto"/>
                <w:sz w:val="24"/>
                <w:szCs w:val="24"/>
                <w:highlight w:val="none"/>
              </w:rPr>
              <w:t>t/a</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项目不设置炉渣仓，</w:t>
            </w:r>
            <w:r>
              <w:rPr>
                <w:rFonts w:hint="default" w:ascii="Times New Roman" w:hAnsi="Times New Roman" w:cs="Times New Roman"/>
                <w:b w:val="0"/>
                <w:bCs w:val="0"/>
                <w:color w:val="auto"/>
                <w:sz w:val="24"/>
                <w:szCs w:val="24"/>
                <w:highlight w:val="none"/>
                <w:lang w:eastAsia="zh-CN"/>
              </w:rPr>
              <w:t>在锅炉房</w:t>
            </w:r>
            <w:r>
              <w:rPr>
                <w:rFonts w:hint="default" w:ascii="Times New Roman" w:hAnsi="Times New Roman" w:eastAsia="宋体" w:cs="Times New Roman"/>
                <w:b w:val="0"/>
                <w:bCs w:val="0"/>
                <w:color w:val="auto"/>
                <w:sz w:val="24"/>
                <w:szCs w:val="24"/>
                <w:highlight w:val="none"/>
              </w:rPr>
              <w:t>内设置封闭式灰渣间</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锅炉灰渣</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布袋除尘器</w:t>
            </w:r>
            <w:r>
              <w:rPr>
                <w:rFonts w:hint="default" w:ascii="Times New Roman" w:hAnsi="Times New Roman" w:cs="Times New Roman"/>
                <w:b w:val="0"/>
                <w:bCs w:val="0"/>
                <w:color w:val="auto"/>
                <w:sz w:val="24"/>
                <w:szCs w:val="24"/>
                <w:highlight w:val="none"/>
                <w:lang w:eastAsia="zh-CN"/>
              </w:rPr>
              <w:t>收尘</w:t>
            </w:r>
            <w:r>
              <w:rPr>
                <w:rFonts w:hint="default" w:ascii="Times New Roman" w:hAnsi="Times New Roman" w:cs="Times New Roman"/>
                <w:b w:val="0"/>
                <w:bCs w:val="0"/>
                <w:color w:val="auto"/>
                <w:sz w:val="24"/>
                <w:szCs w:val="24"/>
                <w:highlight w:val="none"/>
                <w:lang w:val="en-US" w:eastAsia="zh-CN"/>
              </w:rPr>
              <w:t>直接袋装封装，贮存在灰渣间内，</w:t>
            </w:r>
            <w:r>
              <w:rPr>
                <w:rFonts w:hint="default" w:ascii="Times New Roman" w:hAnsi="Times New Roman" w:eastAsia="宋体" w:cs="Times New Roman"/>
                <w:b w:val="0"/>
                <w:bCs w:val="0"/>
                <w:color w:val="auto"/>
                <w:sz w:val="24"/>
                <w:szCs w:val="24"/>
                <w:highlight w:val="none"/>
              </w:rPr>
              <w:t>暂存后定期外售综合利用。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除尘器废布袋</w:t>
            </w:r>
          </w:p>
          <w:p>
            <w:pPr>
              <w:adjustRightInd w:val="0"/>
              <w:snapToGrid w:val="0"/>
              <w:spacing w:line="360" w:lineRule="auto"/>
              <w:ind w:firstLine="480" w:firstLineChars="200"/>
              <w:rPr>
                <w:rFonts w:hint="default" w:ascii="Times New Roman" w:hAnsi="Times New Roman"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布袋</w:t>
            </w:r>
            <w:r>
              <w:rPr>
                <w:rFonts w:hint="default" w:ascii="Times New Roman" w:hAnsi="Times New Roman" w:eastAsia="宋体" w:cs="Times New Roman"/>
                <w:b w:val="0"/>
                <w:bCs w:val="0"/>
                <w:color w:val="auto"/>
                <w:sz w:val="24"/>
                <w:szCs w:val="24"/>
                <w:highlight w:val="none"/>
              </w:rPr>
              <w:t>除尘器废布袋</w:t>
            </w:r>
            <w:r>
              <w:rPr>
                <w:rFonts w:hint="default" w:ascii="Times New Roman" w:hAnsi="Times New Roman" w:eastAsia="宋体" w:cs="Times New Roman"/>
                <w:b w:val="0"/>
                <w:bCs w:val="0"/>
                <w:color w:val="auto"/>
                <w:sz w:val="24"/>
                <w:szCs w:val="24"/>
                <w:highlight w:val="none"/>
                <w:lang w:eastAsia="zh-CN"/>
              </w:rPr>
              <w:t>产生量为</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01</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，不在厂区暂存，</w:t>
            </w:r>
            <w:r>
              <w:rPr>
                <w:rFonts w:hint="default" w:ascii="Times New Roman" w:hAnsi="Times New Roman" w:eastAsia="宋体" w:cs="Times New Roman"/>
                <w:b w:val="0"/>
                <w:bCs w:val="0"/>
                <w:color w:val="auto"/>
                <w:sz w:val="24"/>
                <w:szCs w:val="24"/>
              </w:rPr>
              <w:t>集中收集，由厂家回收再利用</w:t>
            </w:r>
            <w:r>
              <w:rPr>
                <w:rFonts w:hint="default" w:ascii="Times New Roman" w:hAnsi="Times New Roman" w:eastAsia="宋体" w:cs="Times New Roman"/>
                <w:b w:val="0"/>
                <w:bCs w:val="0"/>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cs="Times New Roman"/>
                <w:b w:val="0"/>
                <w:bCs w:val="0"/>
                <w:color w:val="auto"/>
                <w:kern w:val="0"/>
                <w:sz w:val="24"/>
                <w:szCs w:val="24"/>
              </w:rPr>
            </w:pPr>
            <w:r>
              <w:rPr>
                <w:rFonts w:hint="default" w:ascii="Times New Roman" w:hAnsi="Times New Roman" w:cs="Times New Roman"/>
                <w:b w:val="0"/>
                <w:bCs w:val="0"/>
                <w:color w:val="auto"/>
                <w:kern w:val="0"/>
                <w:sz w:val="24"/>
                <w:szCs w:val="24"/>
              </w:rPr>
              <w:t>（</w:t>
            </w:r>
            <w:r>
              <w:rPr>
                <w:rFonts w:hint="default" w:ascii="Times New Roman" w:hAnsi="Times New Roman" w:cs="Times New Roman"/>
                <w:b w:val="0"/>
                <w:bCs w:val="0"/>
                <w:color w:val="auto"/>
                <w:kern w:val="0"/>
                <w:sz w:val="24"/>
                <w:szCs w:val="24"/>
                <w:lang w:val="en-US" w:eastAsia="zh-CN"/>
              </w:rPr>
              <w:t>8</w:t>
            </w:r>
            <w:r>
              <w:rPr>
                <w:rFonts w:hint="default" w:ascii="Times New Roman" w:hAnsi="Times New Roman" w:cs="Times New Roman"/>
                <w:b w:val="0"/>
                <w:bCs w:val="0"/>
                <w:color w:val="auto"/>
                <w:kern w:val="0"/>
                <w:sz w:val="24"/>
                <w:szCs w:val="24"/>
              </w:rPr>
              <w:t>）废离子交换树脂</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项目软水制备系统运行过程中会产生废</w:t>
            </w:r>
            <w:r>
              <w:rPr>
                <w:rFonts w:hint="default" w:ascii="Times New Roman" w:hAnsi="Times New Roman" w:eastAsia="宋体" w:cs="Times New Roman"/>
                <w:b w:val="0"/>
                <w:bCs w:val="0"/>
                <w:color w:val="auto"/>
                <w:sz w:val="24"/>
                <w:szCs w:val="24"/>
              </w:rPr>
              <w:t>离子交换树脂，更换周期约为1年/次，产生量为0.1t/a，废离子交换树脂</w:t>
            </w:r>
            <w:r>
              <w:rPr>
                <w:rFonts w:hint="default" w:ascii="Times New Roman" w:hAnsi="Times New Roman" w:eastAsia="宋体" w:cs="Times New Roman"/>
                <w:b w:val="0"/>
                <w:bCs w:val="0"/>
                <w:color w:val="auto"/>
                <w:sz w:val="24"/>
                <w:szCs w:val="24"/>
                <w:highlight w:val="none"/>
                <w:lang w:eastAsia="zh-CN"/>
              </w:rPr>
              <w:t>不在厂区暂存，</w:t>
            </w:r>
            <w:r>
              <w:rPr>
                <w:rFonts w:hint="default" w:ascii="Times New Roman" w:hAnsi="Times New Roman" w:eastAsia="宋体" w:cs="Times New Roman"/>
                <w:b w:val="0"/>
                <w:bCs w:val="0"/>
                <w:color w:val="auto"/>
                <w:sz w:val="24"/>
                <w:szCs w:val="24"/>
              </w:rPr>
              <w:t>集中收集，由厂家回收再利用。</w:t>
            </w:r>
          </w:p>
          <w:p>
            <w:pPr>
              <w:spacing w:line="360" w:lineRule="auto"/>
              <w:ind w:firstLine="480" w:firstLineChars="200"/>
              <w:rPr>
                <w:rFonts w:hint="default" w:ascii="Times New Roman" w:hAnsi="Times New Roman" w:cs="Times New Roman"/>
                <w:b w:val="0"/>
                <w:bCs w:val="0"/>
                <w:color w:val="auto"/>
                <w:sz w:val="24"/>
                <w:szCs w:val="24"/>
              </w:rPr>
            </w:pPr>
            <w:r>
              <w:rPr>
                <w:rFonts w:hint="eastAsia" w:cs="Times New Roman"/>
                <w:b w:val="0"/>
                <w:bCs w:val="0"/>
                <w:color w:val="auto"/>
                <w:sz w:val="24"/>
                <w:szCs w:val="24"/>
                <w:lang w:val="en-US" w:eastAsia="zh-CN"/>
              </w:rPr>
              <w:t xml:space="preserve">4.3 </w:t>
            </w:r>
            <w:r>
              <w:rPr>
                <w:rFonts w:hint="default" w:ascii="Times New Roman" w:hAnsi="Times New Roman" w:cs="Times New Roman"/>
                <w:b w:val="0"/>
                <w:bCs w:val="0"/>
                <w:color w:val="auto"/>
                <w:sz w:val="24"/>
                <w:szCs w:val="24"/>
              </w:rPr>
              <w:t>固废暂存区标准</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（1）各种固体废物处置设施、堆放场所和填埋场，必须有防火、防扬散、防流失、防渗漏或者其他防止污染环境的措施。</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（2）按固体废物“资源化、减量化、无害化”处置原则，落实各类固体废物的收集、处置和综合利用措施，实现零排放。</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（3）一般工业固废贮存场所应按《一般工业固体废物贮存和填埋污染控制标准》（GB18599-2020）要求。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地下水、土壤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本项目不存在土壤、地下水环境污染途径，运营期无地下水、土壤跟踪监测要求。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生态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本项目占地范围内无特殊生态敏感区及重要生态敏感区等生态环境保护目标，对周边生态环境影响较小，无需设置相应生态环境保护措施。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7、</w:t>
            </w:r>
            <w:r>
              <w:rPr>
                <w:rFonts w:hint="default" w:ascii="Times New Roman" w:hAnsi="Times New Roman" w:eastAsia="宋体" w:cs="Times New Roman"/>
                <w:b w:val="0"/>
                <w:bCs w:val="0"/>
                <w:color w:val="auto"/>
                <w:sz w:val="24"/>
                <w:szCs w:val="24"/>
              </w:rPr>
              <w:t>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eastAsia="宋体" w:cs="Times New Roman"/>
                <w:b w:val="0"/>
                <w:bCs w:val="0"/>
                <w:color w:val="auto"/>
                <w:sz w:val="24"/>
                <w:szCs w:val="24"/>
              </w:rPr>
              <w:t>本项目不涉及有毒有害及易燃易爆等危险物质和风险源，无需设置相应环境风险防范措施。</w:t>
            </w:r>
          </w:p>
        </w:tc>
      </w:tr>
    </w:tbl>
    <w:p>
      <w:pPr>
        <w:pStyle w:val="27"/>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21" w:name="_Hlk54167917"/>
      <w:r>
        <w:rPr>
          <w:rFonts w:hint="default" w:ascii="Times New Roman" w:hAnsi="Times New Roman" w:eastAsia="黑体" w:cs="Times New Roman"/>
          <w:snapToGrid w:val="0"/>
          <w:color w:val="auto"/>
          <w:sz w:val="30"/>
          <w:szCs w:val="30"/>
        </w:rPr>
        <w:t>环境保护措施监督检查清单</w:t>
      </w:r>
      <w:bookmarkEnd w:id="20"/>
      <w:bookmarkEnd w:id="21"/>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76"/>
        <w:gridCol w:w="1134"/>
        <w:gridCol w:w="2989"/>
        <w:gridCol w:w="2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12" w:type="dxa"/>
            <w:tcBorders>
              <w:tl2br w:val="single" w:color="auto" w:sz="4" w:space="0"/>
            </w:tcBorders>
          </w:tcPr>
          <w:p>
            <w:pPr>
              <w:adjustRightInd w:val="0"/>
              <w:snapToGrid w:val="0"/>
              <w:spacing w:line="24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内容</w:t>
            </w: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r>
              <w:rPr>
                <w:rFonts w:hint="default" w:ascii="Times New Roman" w:hAnsi="Times New Roman" w:cs="Times New Roman"/>
                <w:sz w:val="24"/>
                <w:szCs w:val="24"/>
              </w:rPr>
              <w:t>要素</w:t>
            </w:r>
          </w:p>
        </w:tc>
        <w:tc>
          <w:tcPr>
            <w:tcW w:w="1276"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排放口(编号、名称)/污染源</w:t>
            </w:r>
          </w:p>
        </w:tc>
        <w:tc>
          <w:tcPr>
            <w:tcW w:w="1134"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29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环境保护措施</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restart"/>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大气环境</w:t>
            </w:r>
          </w:p>
        </w:tc>
        <w:tc>
          <w:tcPr>
            <w:tcW w:w="1276" w:type="dxa"/>
            <w:tcBorders>
              <w:bottom w:val="single" w:color="000000" w:sz="4" w:space="0"/>
            </w:tcBorders>
            <w:vAlign w:val="center"/>
          </w:tcPr>
          <w:p>
            <w:pPr>
              <w:spacing w:line="240" w:lineRule="auto"/>
              <w:jc w:val="center"/>
              <w:rPr>
                <w:rFonts w:hint="default" w:ascii="Times New Roman" w:hAnsi="Times New Roman" w:cs="Times New Roman"/>
                <w:sz w:val="24"/>
                <w:szCs w:val="24"/>
              </w:rPr>
            </w:pPr>
            <w:r>
              <w:rPr>
                <w:rFonts w:hint="eastAsia" w:cs="Times New Roman"/>
                <w:bCs/>
                <w:color w:val="auto"/>
                <w:kern w:val="0"/>
                <w:sz w:val="24"/>
                <w:szCs w:val="24"/>
                <w:lang w:val="en-US" w:eastAsia="zh-CN"/>
              </w:rPr>
              <w:t>4t/h、</w:t>
            </w:r>
            <w:r>
              <w:rPr>
                <w:rFonts w:hint="eastAsia" w:cs="Times New Roman"/>
                <w:sz w:val="24"/>
                <w:szCs w:val="24"/>
                <w:lang w:val="en-US" w:eastAsia="zh-CN"/>
              </w:rPr>
              <w:t>6t/h</w:t>
            </w:r>
            <w:r>
              <w:rPr>
                <w:rFonts w:hint="default" w:ascii="Times New Roman" w:hAnsi="Times New Roman" w:cs="Times New Roman"/>
                <w:sz w:val="24"/>
                <w:szCs w:val="24"/>
                <w:lang w:eastAsia="zh-CN"/>
              </w:rPr>
              <w:t>燃</w:t>
            </w:r>
            <w:r>
              <w:rPr>
                <w:rFonts w:hint="default" w:ascii="Times New Roman" w:hAnsi="Times New Roman" w:cs="Times New Roman"/>
                <w:sz w:val="24"/>
                <w:szCs w:val="24"/>
              </w:rPr>
              <w:t>生物质蒸汽锅炉DA001</w:t>
            </w:r>
          </w:p>
        </w:tc>
        <w:tc>
          <w:tcPr>
            <w:tcW w:w="1134" w:type="dxa"/>
            <w:tcBorders>
              <w:bottom w:val="single" w:color="000000" w:sz="4" w:space="0"/>
            </w:tcBorders>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颗粒物、二氧化硫、氮氧化物、林格曼黑度</w:t>
            </w:r>
          </w:p>
        </w:tc>
        <w:tc>
          <w:tcPr>
            <w:tcW w:w="2989" w:type="dxa"/>
            <w:tcBorders>
              <w:bottom w:val="single" w:color="000000" w:sz="4" w:space="0"/>
            </w:tcBorders>
            <w:vAlign w:val="center"/>
          </w:tcPr>
          <w:p>
            <w:pPr>
              <w:adjustRightInd w:val="0"/>
              <w:snapToGrid w:val="0"/>
              <w:spacing w:line="240" w:lineRule="auto"/>
              <w:jc w:val="both"/>
              <w:rPr>
                <w:rFonts w:hint="default" w:ascii="Times New Roman" w:hAnsi="Times New Roman" w:cs="Times New Roman"/>
                <w:sz w:val="24"/>
                <w:szCs w:val="24"/>
              </w:rPr>
            </w:pPr>
            <w:r>
              <w:rPr>
                <w:rFonts w:hint="eastAsia" w:cs="Times New Roman"/>
                <w:bCs/>
                <w:color w:val="auto"/>
                <w:kern w:val="0"/>
                <w:sz w:val="24"/>
                <w:szCs w:val="24"/>
                <w:lang w:val="en-US" w:eastAsia="zh-CN"/>
              </w:rPr>
              <w:t>4t/h、6t/h燃生物质蒸汽锅炉产生的烟气经1台布袋除尘器处理后经1根35m高</w:t>
            </w:r>
            <w:r>
              <w:rPr>
                <w:rFonts w:hint="default" w:ascii="Times New Roman" w:hAnsi="Times New Roman" w:cs="Times New Roman"/>
                <w:bCs/>
                <w:color w:val="auto"/>
                <w:kern w:val="0"/>
                <w:sz w:val="24"/>
                <w:szCs w:val="24"/>
              </w:rPr>
              <w:t>烟囱</w:t>
            </w:r>
            <w:r>
              <w:rPr>
                <w:rFonts w:hint="default" w:ascii="Times New Roman" w:hAnsi="Times New Roman" w:cs="Times New Roman"/>
                <w:bCs/>
                <w:kern w:val="0"/>
                <w:sz w:val="24"/>
                <w:szCs w:val="24"/>
              </w:rPr>
              <w:t>（DA001）排放，布袋除尘器处理效率为</w:t>
            </w:r>
            <w:r>
              <w:rPr>
                <w:rFonts w:hint="eastAsia" w:cs="Times New Roman"/>
                <w:bCs/>
                <w:kern w:val="0"/>
                <w:sz w:val="24"/>
                <w:szCs w:val="24"/>
                <w:lang w:eastAsia="zh-CN"/>
              </w:rPr>
              <w:t>99.2%</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《锅炉大气污染物排放标准》（GB13271-2014）</w:t>
            </w:r>
            <w:r>
              <w:rPr>
                <w:rFonts w:hint="default" w:ascii="Times New Roman" w:hAnsi="Times New Roman" w:cs="Times New Roman"/>
                <w:bCs/>
                <w:kern w:val="0"/>
                <w:sz w:val="24"/>
                <w:szCs w:val="24"/>
                <w:lang w:eastAsia="zh-CN"/>
              </w:rPr>
              <w:t>表3大气污染物特别排放限值中燃煤锅炉标准</w:t>
            </w:r>
            <w:r>
              <w:rPr>
                <w:rFonts w:hint="default" w:ascii="Times New Roman" w:hAnsi="Times New Roman" w:cs="Times New Roman"/>
                <w:bCs/>
                <w:kern w:val="0"/>
                <w:sz w:val="24"/>
                <w:szCs w:val="24"/>
              </w:rPr>
              <w:t>中燃煤锅炉要求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pPr>
              <w:adjustRightInd w:val="0"/>
              <w:snapToGrid w:val="0"/>
              <w:spacing w:line="240" w:lineRule="auto"/>
              <w:jc w:val="center"/>
              <w:rPr>
                <w:rFonts w:hint="default" w:ascii="Times New Roman" w:hAnsi="Times New Roman" w:cs="Times New Roman"/>
                <w:sz w:val="24"/>
                <w:szCs w:val="24"/>
              </w:rPr>
            </w:pPr>
          </w:p>
        </w:tc>
        <w:tc>
          <w:tcPr>
            <w:tcW w:w="1276" w:type="dxa"/>
            <w:tcBorders>
              <w:bottom w:val="single" w:color="000000" w:sz="4" w:space="0"/>
            </w:tcBorders>
            <w:vAlign w:val="center"/>
          </w:tcPr>
          <w:p>
            <w:pPr>
              <w:pStyle w:val="84"/>
              <w:spacing w:line="240" w:lineRule="auto"/>
              <w:ind w:left="0" w:leftChars="0" w:right="0" w:rightChars="0" w:firstLine="0" w:firstLineChars="0"/>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灰渣间</w:t>
            </w:r>
          </w:p>
        </w:tc>
        <w:tc>
          <w:tcPr>
            <w:tcW w:w="1134" w:type="dxa"/>
            <w:tcBorders>
              <w:bottom w:val="single" w:color="000000" w:sz="4" w:space="0"/>
            </w:tcBorders>
            <w:vAlign w:val="center"/>
          </w:tcPr>
          <w:p>
            <w:pPr>
              <w:pStyle w:val="81"/>
              <w:spacing w:line="240" w:lineRule="auto"/>
              <w:ind w:left="0" w:leftChars="0" w:right="0" w:rightChars="0"/>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sz w:val="24"/>
                <w:szCs w:val="24"/>
                <w:highlight w:val="none"/>
                <w:lang w:val="en-US" w:eastAsia="zh-CN"/>
              </w:rPr>
              <w:t>颗粒物</w:t>
            </w:r>
          </w:p>
        </w:tc>
        <w:tc>
          <w:tcPr>
            <w:tcW w:w="2989" w:type="dxa"/>
            <w:tcBorders>
              <w:bottom w:val="single" w:color="000000" w:sz="4" w:space="0"/>
            </w:tcBorders>
            <w:vAlign w:val="center"/>
          </w:tcPr>
          <w:p>
            <w:pPr>
              <w:pStyle w:val="81"/>
              <w:spacing w:line="240" w:lineRule="auto"/>
              <w:ind w:left="0" w:leftChars="0" w:right="0" w:rightChars="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采用封闭的灰渣间，灰渣间采用喷洒水降尘，处理效率70%。</w:t>
            </w:r>
          </w:p>
        </w:tc>
        <w:tc>
          <w:tcPr>
            <w:tcW w:w="2289" w:type="dxa"/>
            <w:vAlign w:val="center"/>
          </w:tcPr>
          <w:p>
            <w:pPr>
              <w:pStyle w:val="81"/>
              <w:spacing w:line="240" w:lineRule="auto"/>
              <w:ind w:left="0" w:leftChars="0" w:right="0" w:rightChars="0"/>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cs="Times New Roman"/>
                <w:color w:val="auto"/>
                <w:sz w:val="24"/>
                <w:szCs w:val="24"/>
                <w:highlight w:val="none"/>
              </w:rPr>
              <w:t>《大气污染物综合排放标准》(GB16297-1996)</w:t>
            </w:r>
            <w:r>
              <w:rPr>
                <w:rFonts w:hint="default" w:ascii="Times New Roman" w:hAnsi="Times New Roman" w:cs="Times New Roman"/>
                <w:color w:val="auto"/>
                <w:kern w:val="0"/>
                <w:sz w:val="24"/>
                <w:szCs w:val="24"/>
                <w:highlight w:val="none"/>
              </w:rPr>
              <w:t xml:space="preserve"> 表2新污染源大气污染物排放标准中无组织排放监控浓度限值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pPr>
              <w:adjustRightInd w:val="0"/>
              <w:snapToGrid w:val="0"/>
              <w:spacing w:line="240" w:lineRule="auto"/>
              <w:jc w:val="center"/>
              <w:rPr>
                <w:rFonts w:hint="default" w:ascii="Times New Roman" w:hAnsi="Times New Roman" w:cs="Times New Roman"/>
                <w:sz w:val="24"/>
                <w:szCs w:val="24"/>
              </w:rPr>
            </w:pPr>
          </w:p>
        </w:tc>
        <w:tc>
          <w:tcPr>
            <w:tcW w:w="1276" w:type="dxa"/>
            <w:vAlign w:val="center"/>
          </w:tcPr>
          <w:p>
            <w:pPr>
              <w:adjustRightInd w:val="0"/>
              <w:snapToGrid w:val="0"/>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蒸煮工序</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kern w:val="0"/>
                <w:sz w:val="24"/>
                <w:szCs w:val="24"/>
              </w:rPr>
              <w:t>异味</w:t>
            </w:r>
          </w:p>
        </w:tc>
        <w:tc>
          <w:tcPr>
            <w:tcW w:w="1134" w:type="dxa"/>
            <w:tcBorders>
              <w:bottom w:val="single" w:color="000000" w:sz="4" w:space="0"/>
            </w:tcBorders>
            <w:vAlign w:val="center"/>
          </w:tcPr>
          <w:p>
            <w:pPr>
              <w:pStyle w:val="59"/>
              <w:adjustRightInd w:val="0"/>
              <w:snapToGrid w:val="0"/>
              <w:spacing w:line="240" w:lineRule="auto"/>
              <w:rPr>
                <w:rFonts w:hint="default" w:ascii="Times New Roman" w:hAnsi="Times New Roman" w:cs="Times New Roman"/>
                <w:sz w:val="24"/>
                <w:szCs w:val="24"/>
              </w:rPr>
            </w:pPr>
            <w:r>
              <w:rPr>
                <w:rFonts w:hint="default" w:ascii="Times New Roman" w:hAnsi="Times New Roman" w:eastAsia="宋体" w:cs="Times New Roman"/>
                <w:kern w:val="0"/>
                <w:sz w:val="24"/>
                <w:szCs w:val="24"/>
              </w:rPr>
              <w:t>臭气</w:t>
            </w:r>
          </w:p>
        </w:tc>
        <w:tc>
          <w:tcPr>
            <w:tcW w:w="2989" w:type="dxa"/>
            <w:tcBorders>
              <w:bottom w:val="single" w:color="000000" w:sz="4" w:space="0"/>
            </w:tcBorders>
            <w:vAlign w:val="center"/>
          </w:tcPr>
          <w:p>
            <w:pPr>
              <w:pStyle w:val="59"/>
              <w:adjustRightInd w:val="0"/>
              <w:snapToGrid w:val="0"/>
              <w:spacing w:line="240" w:lineRule="auto"/>
              <w:rPr>
                <w:rFonts w:hint="default" w:ascii="Times New Roman" w:hAnsi="Times New Roman" w:cs="Times New Roman"/>
                <w:sz w:val="24"/>
                <w:szCs w:val="24"/>
              </w:rPr>
            </w:pPr>
            <w:r>
              <w:rPr>
                <w:rFonts w:hint="default" w:ascii="Times New Roman" w:hAnsi="Times New Roman" w:eastAsia="宋体" w:cs="Times New Roman"/>
                <w:kern w:val="0"/>
                <w:sz w:val="24"/>
                <w:szCs w:val="24"/>
              </w:rPr>
              <w:t>蒸煮工序产生少量异味，在生产车间内散溢，加强车间通风。</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《恶臭污染物排放标准》（GB14554-1993）二级厂界排放标准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pPr>
              <w:adjustRightInd w:val="0"/>
              <w:snapToGrid w:val="0"/>
              <w:spacing w:line="240" w:lineRule="auto"/>
              <w:jc w:val="center"/>
              <w:rPr>
                <w:rFonts w:hint="default" w:ascii="Times New Roman" w:hAnsi="Times New Roman" w:cs="Times New Roman"/>
                <w:sz w:val="24"/>
                <w:szCs w:val="24"/>
              </w:rPr>
            </w:pPr>
          </w:p>
        </w:tc>
        <w:tc>
          <w:tcPr>
            <w:tcW w:w="1276" w:type="dxa"/>
            <w:vAlign w:val="center"/>
          </w:tcPr>
          <w:p>
            <w:pPr>
              <w:pStyle w:val="83"/>
              <w:spacing w:line="240" w:lineRule="auto"/>
              <w:ind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食堂排气筒</w:t>
            </w:r>
            <w:r>
              <w:rPr>
                <w:rFonts w:hint="default" w:ascii="Times New Roman" w:hAnsi="Times New Roman" w:cs="Times New Roman"/>
                <w:sz w:val="24"/>
                <w:szCs w:val="24"/>
                <w:lang w:val="en-US" w:eastAsia="zh-CN"/>
              </w:rPr>
              <w:t>DA002</w:t>
            </w:r>
          </w:p>
        </w:tc>
        <w:tc>
          <w:tcPr>
            <w:tcW w:w="1134" w:type="dxa"/>
            <w:tcBorders>
              <w:bottom w:val="single" w:color="000000" w:sz="4" w:space="0"/>
            </w:tcBorders>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食堂油烟</w:t>
            </w:r>
          </w:p>
        </w:tc>
        <w:tc>
          <w:tcPr>
            <w:tcW w:w="2989" w:type="dxa"/>
            <w:tcBorders>
              <w:bottom w:val="single" w:color="000000" w:sz="4" w:space="0"/>
            </w:tcBorders>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食堂油烟废气经过油烟净化器进行治理后通过专业排气筒附屋顶排放</w:t>
            </w:r>
          </w:p>
        </w:tc>
        <w:tc>
          <w:tcPr>
            <w:tcW w:w="2289" w:type="dxa"/>
            <w:vAlign w:val="center"/>
          </w:tcPr>
          <w:p>
            <w:pPr>
              <w:snapToGrid w:val="0"/>
              <w:spacing w:line="240" w:lineRule="auto"/>
              <w:rPr>
                <w:rFonts w:hint="default" w:ascii="Times New Roman" w:hAnsi="Times New Roman" w:cs="Times New Roman"/>
                <w:bCs/>
                <w:sz w:val="24"/>
                <w:szCs w:val="24"/>
              </w:rPr>
            </w:pPr>
            <w:r>
              <w:rPr>
                <w:rFonts w:hint="default" w:ascii="Times New Roman" w:hAnsi="Times New Roman" w:cs="Times New Roman"/>
                <w:sz w:val="24"/>
                <w:szCs w:val="24"/>
              </w:rPr>
              <w:t>满足《饮食业油烟排放标准（试行）》（GB18483-2001）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restart"/>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1276"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bCs/>
                <w:sz w:val="24"/>
                <w:szCs w:val="24"/>
              </w:rPr>
              <w:t>生活污水</w:t>
            </w:r>
          </w:p>
        </w:tc>
        <w:tc>
          <w:tcPr>
            <w:tcW w:w="1134"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sz w:val="24"/>
                <w:szCs w:val="24"/>
              </w:rPr>
              <w:t>COD、氨氮</w:t>
            </w:r>
          </w:p>
        </w:tc>
        <w:tc>
          <w:tcPr>
            <w:tcW w:w="2989"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sz w:val="24"/>
                <w:szCs w:val="24"/>
              </w:rPr>
              <w:t>生活污水排入防渗旱厕定期清掏，外运堆肥</w:t>
            </w:r>
          </w:p>
        </w:tc>
        <w:tc>
          <w:tcPr>
            <w:tcW w:w="2289"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pPr>
              <w:adjustRightInd w:val="0"/>
              <w:snapToGrid w:val="0"/>
              <w:spacing w:line="240" w:lineRule="auto"/>
              <w:jc w:val="center"/>
              <w:rPr>
                <w:rFonts w:hint="default" w:ascii="Times New Roman" w:hAnsi="Times New Roman" w:cs="Times New Roman"/>
                <w:sz w:val="24"/>
                <w:szCs w:val="24"/>
              </w:rPr>
            </w:pPr>
          </w:p>
        </w:tc>
        <w:tc>
          <w:tcPr>
            <w:tcW w:w="1276"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sz w:val="24"/>
                <w:szCs w:val="24"/>
              </w:rPr>
              <w:t>锅炉排污水及软化处理废水</w:t>
            </w:r>
          </w:p>
        </w:tc>
        <w:tc>
          <w:tcPr>
            <w:tcW w:w="1134"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COD</w:t>
            </w:r>
          </w:p>
        </w:tc>
        <w:tc>
          <w:tcPr>
            <w:tcW w:w="29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color w:val="auto"/>
                <w:sz w:val="24"/>
                <w:szCs w:val="24"/>
                <w:lang w:eastAsia="zh-CN"/>
              </w:rPr>
              <w:t>锅炉房、灰渣间、厂区洒水降尘，不外排</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pPr>
              <w:adjustRightInd w:val="0"/>
              <w:snapToGrid w:val="0"/>
              <w:spacing w:line="240" w:lineRule="auto"/>
              <w:jc w:val="center"/>
              <w:rPr>
                <w:rFonts w:hint="default" w:ascii="Times New Roman" w:hAnsi="Times New Roman" w:cs="Times New Roman"/>
                <w:sz w:val="24"/>
                <w:szCs w:val="24"/>
              </w:rPr>
            </w:pPr>
          </w:p>
        </w:tc>
        <w:tc>
          <w:tcPr>
            <w:tcW w:w="1276" w:type="dxa"/>
            <w:vAlign w:val="center"/>
          </w:tcPr>
          <w:p>
            <w:pPr>
              <w:adjustRightInd w:val="0"/>
              <w:snapToGrid w:val="0"/>
              <w:spacing w:line="240" w:lineRule="auto"/>
              <w:jc w:val="center"/>
              <w:rPr>
                <w:rFonts w:hint="default" w:ascii="Times New Roman" w:hAnsi="Times New Roman" w:cs="Times New Roman"/>
                <w:bCs/>
                <w:sz w:val="24"/>
                <w:szCs w:val="24"/>
              </w:rPr>
            </w:pPr>
            <w:r>
              <w:rPr>
                <w:rFonts w:hint="default" w:ascii="Times New Roman" w:hAnsi="Times New Roman" w:cs="Times New Roman"/>
                <w:sz w:val="24"/>
                <w:szCs w:val="24"/>
              </w:rPr>
              <w:t>清洗</w:t>
            </w:r>
            <w:r>
              <w:rPr>
                <w:rFonts w:hint="default" w:ascii="Times New Roman" w:hAnsi="Times New Roman" w:cs="Times New Roman"/>
                <w:sz w:val="24"/>
                <w:szCs w:val="24"/>
                <w:lang w:eastAsia="zh-CN"/>
              </w:rPr>
              <w:t>废水和</w:t>
            </w:r>
            <w:r>
              <w:rPr>
                <w:rFonts w:hint="default" w:ascii="Times New Roman" w:hAnsi="Times New Roman" w:cs="Times New Roman"/>
                <w:sz w:val="24"/>
                <w:szCs w:val="24"/>
              </w:rPr>
              <w:t>车间地面冲洗废水</w:t>
            </w:r>
          </w:p>
        </w:tc>
        <w:tc>
          <w:tcPr>
            <w:tcW w:w="1134" w:type="dxa"/>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highlight w:val="none"/>
              </w:rPr>
              <w:t>COD、SS、氨氮、</w:t>
            </w:r>
            <w:r>
              <w:rPr>
                <w:rFonts w:hint="eastAsia" w:cs="Times New Roman"/>
                <w:sz w:val="24"/>
                <w:szCs w:val="24"/>
                <w:highlight w:val="none"/>
                <w:lang w:val="en-US" w:eastAsia="zh-CN"/>
              </w:rPr>
              <w:t>BOD</w:t>
            </w:r>
            <w:r>
              <w:rPr>
                <w:rFonts w:hint="eastAsia" w:cs="Times New Roman"/>
                <w:sz w:val="24"/>
                <w:szCs w:val="24"/>
                <w:highlight w:val="none"/>
                <w:vertAlign w:val="subscript"/>
                <w:lang w:val="en-US" w:eastAsia="zh-CN"/>
              </w:rPr>
              <w:t>5</w:t>
            </w:r>
          </w:p>
        </w:tc>
        <w:tc>
          <w:tcPr>
            <w:tcW w:w="2989" w:type="dxa"/>
            <w:vAlign w:val="center"/>
          </w:tcPr>
          <w:p>
            <w:pPr>
              <w:adjustRightInd w:val="0"/>
              <w:snapToGrid w:val="0"/>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清洗</w:t>
            </w:r>
            <w:r>
              <w:rPr>
                <w:rFonts w:hint="default" w:ascii="Times New Roman" w:hAnsi="Times New Roman" w:cs="Times New Roman"/>
                <w:sz w:val="24"/>
                <w:szCs w:val="24"/>
                <w:highlight w:val="none"/>
                <w:lang w:eastAsia="zh-CN"/>
              </w:rPr>
              <w:t>废水和</w:t>
            </w:r>
            <w:r>
              <w:rPr>
                <w:rFonts w:hint="default" w:ascii="Times New Roman" w:hAnsi="Times New Roman" w:cs="Times New Roman"/>
                <w:color w:val="auto"/>
                <w:sz w:val="24"/>
                <w:szCs w:val="24"/>
                <w:highlight w:val="none"/>
              </w:rPr>
              <w:t>车间地面冲洗废水暂存于30m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的密闭储罐内</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每天由专用罐车拉运至</w:t>
            </w:r>
            <w:r>
              <w:rPr>
                <w:rFonts w:hint="eastAsia" w:cs="Times New Roman"/>
                <w:color w:val="auto"/>
                <w:sz w:val="24"/>
                <w:szCs w:val="24"/>
                <w:highlight w:val="none"/>
                <w:lang w:eastAsia="zh-CN"/>
              </w:rPr>
              <w:t>五常市民泉污水处理有限公司</w:t>
            </w:r>
            <w:r>
              <w:rPr>
                <w:rFonts w:hint="default" w:ascii="Times New Roman" w:hAnsi="Times New Roman" w:cs="Times New Roman"/>
                <w:color w:val="auto"/>
                <w:sz w:val="24"/>
                <w:szCs w:val="24"/>
                <w:highlight w:val="none"/>
              </w:rPr>
              <w:t>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kern w:val="0"/>
                <w:sz w:val="24"/>
                <w:szCs w:val="24"/>
                <w:highlight w:val="none"/>
              </w:rPr>
              <w:t>日产日清</w:t>
            </w:r>
          </w:p>
        </w:tc>
        <w:tc>
          <w:tcPr>
            <w:tcW w:w="2289" w:type="dxa"/>
            <w:vAlign w:val="center"/>
          </w:tcPr>
          <w:p>
            <w:pPr>
              <w:adjustRightInd w:val="0"/>
              <w:snapToGrid w:val="0"/>
              <w:spacing w:line="24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《污水综合排放标准》（GB8978-1996）三级标准及</w:t>
            </w:r>
            <w:r>
              <w:rPr>
                <w:rFonts w:hint="eastAsia" w:cs="Times New Roman"/>
                <w:sz w:val="24"/>
                <w:szCs w:val="24"/>
                <w:highlight w:val="none"/>
                <w:lang w:eastAsia="zh-CN"/>
              </w:rPr>
              <w:t>五常市民泉污水处理有限公司</w:t>
            </w:r>
            <w:r>
              <w:rPr>
                <w:rFonts w:hint="default" w:ascii="Times New Roman" w:hAnsi="Times New Roman" w:cs="Times New Roman"/>
                <w:sz w:val="24"/>
                <w:szCs w:val="24"/>
                <w:highlight w:val="none"/>
              </w:rPr>
              <w:t>进水水质标准。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1276" w:type="dxa"/>
            <w:vAlign w:val="center"/>
          </w:tcPr>
          <w:p>
            <w:pPr>
              <w:pStyle w:val="46"/>
              <w:spacing w:line="240" w:lineRule="auto"/>
              <w:ind w:left="0" w:leftChars="0" w:firstLine="0" w:firstLineChars="0"/>
              <w:contextualSpacing/>
              <w:jc w:val="both"/>
              <w:rPr>
                <w:rFonts w:hint="default" w:ascii="Times New Roman" w:hAnsi="Times New Roman" w:cs="Times New Roman"/>
                <w:sz w:val="24"/>
                <w:szCs w:val="24"/>
              </w:rPr>
            </w:pPr>
            <w:r>
              <w:rPr>
                <w:rFonts w:hint="default" w:ascii="Times New Roman" w:hAnsi="Times New Roman" w:cs="Times New Roman"/>
                <w:sz w:val="24"/>
                <w:szCs w:val="24"/>
              </w:rPr>
              <w:t>生产设备</w:t>
            </w:r>
          </w:p>
        </w:tc>
        <w:tc>
          <w:tcPr>
            <w:tcW w:w="1134"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噪声</w:t>
            </w:r>
          </w:p>
        </w:tc>
        <w:tc>
          <w:tcPr>
            <w:tcW w:w="29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采取厂房</w:t>
            </w:r>
            <w:r>
              <w:rPr>
                <w:rFonts w:hint="default" w:ascii="Times New Roman" w:hAnsi="Times New Roman" w:cs="Times New Roman"/>
                <w:sz w:val="24"/>
                <w:szCs w:val="24"/>
              </w:rPr>
              <w:t>隔声</w:t>
            </w:r>
            <w:r>
              <w:rPr>
                <w:rFonts w:hint="default" w:ascii="Times New Roman" w:hAnsi="Times New Roman" w:cs="Times New Roman"/>
                <w:sz w:val="24"/>
                <w:szCs w:val="24"/>
                <w:lang w:eastAsia="zh-CN"/>
              </w:rPr>
              <w:t>，设备安装基础</w:t>
            </w:r>
            <w:r>
              <w:rPr>
                <w:rFonts w:hint="default" w:ascii="Times New Roman" w:hAnsi="Times New Roman" w:cs="Times New Roman"/>
                <w:sz w:val="24"/>
                <w:szCs w:val="24"/>
              </w:rPr>
              <w:t>减振等措施</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电磁辐射</w:t>
            </w:r>
          </w:p>
        </w:tc>
        <w:tc>
          <w:tcPr>
            <w:tcW w:w="1276" w:type="dxa"/>
            <w:vAlign w:val="center"/>
          </w:tcPr>
          <w:p>
            <w:pPr>
              <w:spacing w:line="240" w:lineRule="auto"/>
              <w:ind w:left="-42" w:leftChars="-20" w:right="-42" w:rightChars="-20"/>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t>无</w:t>
            </w:r>
          </w:p>
        </w:tc>
        <w:tc>
          <w:tcPr>
            <w:tcW w:w="1134"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w:t>
            </w:r>
          </w:p>
        </w:tc>
        <w:tc>
          <w:tcPr>
            <w:tcW w:w="29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w:t>
            </w:r>
          </w:p>
        </w:tc>
        <w:tc>
          <w:tcPr>
            <w:tcW w:w="2289"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7688" w:type="dxa"/>
            <w:gridSpan w:val="4"/>
            <w:vAlign w:val="center"/>
          </w:tcPr>
          <w:p>
            <w:pPr>
              <w:adjustRightInd w:val="0"/>
              <w:snapToGrid w:val="0"/>
              <w:spacing w:line="240" w:lineRule="auto"/>
              <w:rPr>
                <w:rFonts w:hint="default" w:ascii="Times New Roman" w:hAnsi="Times New Roman" w:cs="Times New Roman"/>
                <w:sz w:val="24"/>
                <w:szCs w:val="24"/>
              </w:rPr>
            </w:pPr>
            <w:r>
              <w:rPr>
                <w:rFonts w:hint="default" w:ascii="Times New Roman" w:hAnsi="Times New Roman" w:cs="Times New Roman"/>
                <w:bCs/>
                <w:color w:val="auto"/>
                <w:kern w:val="0"/>
                <w:sz w:val="24"/>
                <w:szCs w:val="24"/>
                <w:highlight w:val="none"/>
              </w:rPr>
              <w:t>生活垃圾由环卫部门统一处理；废纸箱及废包装袋集中收集外售综合利用；玉米叶、玉米须、不合格的果穗、青穗以及废弃玉米段集中收集，外售用作饲料；锅炉灰渣与布袋除尘器收尘集中收集于灰渣</w:t>
            </w:r>
            <w:r>
              <w:rPr>
                <w:rFonts w:hint="default" w:ascii="Times New Roman" w:hAnsi="Times New Roman" w:cs="Times New Roman"/>
                <w:bCs/>
                <w:color w:val="auto"/>
                <w:kern w:val="0"/>
                <w:sz w:val="24"/>
                <w:szCs w:val="24"/>
                <w:highlight w:val="none"/>
                <w:lang w:eastAsia="zh-CN"/>
              </w:rPr>
              <w:t>间</w:t>
            </w:r>
            <w:r>
              <w:rPr>
                <w:rFonts w:hint="default" w:ascii="Times New Roman" w:hAnsi="Times New Roman" w:cs="Times New Roman"/>
                <w:bCs/>
                <w:color w:val="auto"/>
                <w:kern w:val="0"/>
                <w:sz w:val="24"/>
                <w:szCs w:val="24"/>
                <w:highlight w:val="none"/>
              </w:rPr>
              <w:t>，外售综合利用；</w:t>
            </w:r>
            <w:r>
              <w:rPr>
                <w:rFonts w:hint="default" w:ascii="Times New Roman" w:hAnsi="Times New Roman" w:cs="Times New Roman"/>
                <w:color w:val="auto"/>
                <w:sz w:val="24"/>
                <w:szCs w:val="24"/>
                <w:highlight w:val="none"/>
                <w:lang w:eastAsia="zh-CN"/>
              </w:rPr>
              <w:t>除尘器废布袋、</w:t>
            </w:r>
            <w:r>
              <w:rPr>
                <w:rFonts w:hint="default" w:ascii="Times New Roman" w:hAnsi="Times New Roman" w:cs="Times New Roman"/>
                <w:bCs/>
                <w:color w:val="auto"/>
                <w:kern w:val="0"/>
                <w:sz w:val="24"/>
                <w:szCs w:val="24"/>
                <w:highlight w:val="none"/>
              </w:rPr>
              <w:t>废离子交换树脂由厂家回收再利用</w:t>
            </w:r>
            <w:r>
              <w:rPr>
                <w:rFonts w:hint="default" w:ascii="Times New Roman" w:hAnsi="Times New Roman" w:cs="Times New Roman"/>
                <w:bCs/>
                <w:sz w:val="24"/>
                <w:szCs w:val="24"/>
              </w:rPr>
              <w:t>。</w:t>
            </w:r>
            <w:r>
              <w:rPr>
                <w:rFonts w:hint="default" w:ascii="Times New Roman" w:hAnsi="Times New Roman" w:cs="Times New Roman"/>
                <w:sz w:val="24"/>
                <w:szCs w:val="24"/>
              </w:rPr>
              <w:t>项目固废执行《一般工业固体废物贮存和填埋污染控制标准》（GB18599-2020）中的有关规定。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112"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土壤及地下水污染防治措施</w:t>
            </w:r>
          </w:p>
        </w:tc>
        <w:tc>
          <w:tcPr>
            <w:tcW w:w="7688" w:type="dxa"/>
            <w:gridSpan w:val="4"/>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12" w:type="dxa"/>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生态保护措施</w:t>
            </w:r>
          </w:p>
        </w:tc>
        <w:tc>
          <w:tcPr>
            <w:tcW w:w="7688" w:type="dxa"/>
            <w:gridSpan w:val="4"/>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12" w:type="dxa"/>
            <w:vAlign w:val="center"/>
          </w:tcPr>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环境风险</w:t>
            </w:r>
          </w:p>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防范措施</w:t>
            </w:r>
          </w:p>
        </w:tc>
        <w:tc>
          <w:tcPr>
            <w:tcW w:w="7688" w:type="dxa"/>
            <w:gridSpan w:val="4"/>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bCs/>
                <w:kern w:val="0"/>
                <w:sz w:val="24"/>
                <w:szCs w:val="24"/>
              </w:rPr>
              <w:t>本企业必须设立安全管理机构，并配备专职安全员，负责本厂的安全工作。安全机构的职能是：贯彻执行国家有关劳动保护、安全、工业卫生的法令和法规，负责全厂的安全生产、防火防爆防毒；组织进行安全检查和安全知识教育；制定安全管理制度，审查安全技术规程并监督检查执行情况，以及各类工伤、事故的综合管理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12" w:type="dxa"/>
            <w:vAlign w:val="center"/>
          </w:tcPr>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其他环境</w:t>
            </w:r>
          </w:p>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管理要求</w:t>
            </w:r>
          </w:p>
        </w:tc>
        <w:tc>
          <w:tcPr>
            <w:tcW w:w="7688" w:type="dxa"/>
            <w:gridSpan w:val="4"/>
            <w:vAlign w:val="center"/>
          </w:tcPr>
          <w:p>
            <w:pPr>
              <w:adjustRightInd w:val="0"/>
              <w:snapToGrid w:val="0"/>
              <w:spacing w:line="240" w:lineRule="auto"/>
              <w:rPr>
                <w:rFonts w:hint="default" w:ascii="Times New Roman" w:hAnsi="Times New Roman" w:cs="Times New Roman"/>
                <w:sz w:val="24"/>
                <w:szCs w:val="24"/>
              </w:rPr>
            </w:pPr>
            <w:r>
              <w:rPr>
                <w:rFonts w:hint="default" w:ascii="Times New Roman" w:hAnsi="Times New Roman" w:cs="Times New Roman"/>
                <w:sz w:val="24"/>
                <w:szCs w:val="24"/>
              </w:rPr>
              <w:t>工作区内需指定专门的人员，在本项目实施时严格执行“三同时”制度，保证项目运营时三废均能得到有效处理后达标排放。在日常生产中，应加强环保管理，大力推行清洁生产，并加强职工对污染要“以防为主，防治结合”的认识。另外，应加强对设备运行状况的检查，特别是环保设施要做到定期检查，制定检查方案与实施计划，严防出故障，对三废处理装置要定期检修，以确保污染物达标排放。按照相关要求，对排污口进行规范化管理，在正确的排放点位设置标识，以便进行自行验收和规范化管理，按照《排污许可管理办法（试行）》（环境保护部令48号）和《固定污染源排污许可分类管理名录（2019版）》相关要求，在规定时间内取得排污许可证，按证排污。并做好环境管理台账记录，上报季度、年度执行报告等相关要求。</w:t>
            </w: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rPr>
                <w:rFonts w:hint="default" w:ascii="Times New Roman" w:hAnsi="Times New Roman" w:cs="Times New Roman"/>
                <w:sz w:val="24"/>
                <w:szCs w:val="24"/>
              </w:rPr>
            </w:pPr>
          </w:p>
          <w:p>
            <w:pPr>
              <w:adjustRightInd w:val="0"/>
              <w:snapToGrid w:val="0"/>
              <w:spacing w:line="240" w:lineRule="auto"/>
              <w:jc w:val="center"/>
              <w:rPr>
                <w:rFonts w:hint="default" w:ascii="Times New Roman" w:hAnsi="Times New Roman" w:cs="Times New Roman"/>
                <w:sz w:val="24"/>
                <w:szCs w:val="24"/>
              </w:rPr>
            </w:pPr>
          </w:p>
        </w:tc>
      </w:tr>
    </w:tbl>
    <w:p>
      <w:pPr>
        <w:adjustRightInd w:val="0"/>
        <w:snapToGrid w:val="0"/>
        <w:jc w:val="center"/>
        <w:rPr>
          <w:rFonts w:hint="default" w:ascii="Times New Roman" w:hAnsi="Times New Roman" w:eastAsia="黑体" w:cs="Times New Roman"/>
          <w:snapToGrid w:val="0"/>
          <w:color w:val="auto"/>
          <w:sz w:val="30"/>
          <w:szCs w:val="30"/>
        </w:rPr>
      </w:pPr>
      <w:r>
        <w:rPr>
          <w:rFonts w:hint="default" w:ascii="Times New Roman" w:hAnsi="Times New Roman" w:eastAsia="宋体" w:cs="Times New Roman"/>
          <w:color w:val="auto"/>
          <w:sz w:val="24"/>
        </w:rPr>
        <w:br w:type="page"/>
      </w:r>
      <w:bookmarkStart w:id="22" w:name="_Toc68775757"/>
      <w:r>
        <w:rPr>
          <w:rFonts w:hint="default" w:ascii="Times New Roman" w:hAnsi="Times New Roman" w:eastAsia="黑体" w:cs="Times New Roman"/>
          <w:snapToGrid w:val="0"/>
          <w:color w:val="auto"/>
          <w:sz w:val="30"/>
          <w:szCs w:val="30"/>
        </w:rPr>
        <w:t>六、结论</w:t>
      </w:r>
      <w:bookmarkEnd w:id="22"/>
    </w:p>
    <w:tbl>
      <w:tblPr>
        <w:tblStyle w:val="3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5" w:hRule="atLeast"/>
          <w:jc w:val="center"/>
        </w:trPr>
        <w:tc>
          <w:tcPr>
            <w:tcW w:w="8865" w:type="dxa"/>
            <w:tcBorders>
              <w:top w:val="single" w:color="auto" w:sz="8" w:space="0"/>
              <w:bottom w:val="single" w:color="auto" w:sz="8" w:space="0"/>
            </w:tcBorders>
          </w:tcPr>
          <w:p>
            <w:pPr>
              <w:adjustRightInd w:val="0"/>
              <w:snapToGrid w:val="0"/>
              <w:spacing w:line="360" w:lineRule="auto"/>
              <w:ind w:firstLine="480" w:firstLineChars="200"/>
              <w:rPr>
                <w:rFonts w:hint="default" w:ascii="Times New Roman" w:hAnsi="Times New Roman" w:cs="Times New Roman"/>
                <w:b w:val="0"/>
                <w:bCs w:val="0"/>
                <w:sz w:val="24"/>
              </w:rPr>
            </w:pPr>
            <w:r>
              <w:rPr>
                <w:rFonts w:hint="default" w:ascii="Times New Roman" w:hAnsi="Times New Roman" w:cs="Times New Roman"/>
                <w:b w:val="0"/>
                <w:bCs w:val="0"/>
                <w:sz w:val="24"/>
              </w:rPr>
              <w:t>项目符合国家产业政策、地方相关规划，符合“三线一单”。建设单位通过严格落实环评中的各项污染防治措施，可确保本项目产生的各项污染物达标排放，从环境角度考虑，项目选址可行。</w:t>
            </w:r>
          </w:p>
          <w:p>
            <w:pPr>
              <w:spacing w:line="360" w:lineRule="auto"/>
              <w:ind w:firstLine="480" w:firstLineChars="200"/>
              <w:contextualSpacing/>
              <w:rPr>
                <w:rFonts w:hint="default" w:ascii="Times New Roman" w:hAnsi="Times New Roman" w:cs="Times New Roman"/>
                <w:color w:val="auto"/>
                <w:sz w:val="24"/>
              </w:rPr>
            </w:pPr>
            <w:r>
              <w:rPr>
                <w:rFonts w:hint="default" w:ascii="Times New Roman" w:hAnsi="Times New Roman" w:cs="Times New Roman"/>
                <w:b w:val="0"/>
                <w:bCs w:val="0"/>
                <w:sz w:val="24"/>
              </w:rPr>
              <w:t>本项目运营期在确保严格落实本报告表提出的污染物防治措施的前提下，对地表水环境、环境空气、声环境等的影响较小，可以被周围环境所接受。因此，本项目的建设从环境保护的角度而言是可行的</w:t>
            </w:r>
            <w:r>
              <w:rPr>
                <w:rFonts w:hint="default" w:ascii="Times New Roman" w:hAnsi="Times New Roman" w:cs="Times New Roman"/>
                <w:b w:val="0"/>
                <w:bCs w:val="0"/>
                <w:color w:val="auto"/>
                <w:sz w:val="24"/>
              </w:rPr>
              <w:t>。</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outlineLvl w:val="0"/>
        <w:rPr>
          <w:rFonts w:hint="default" w:ascii="Times New Roman" w:hAnsi="Times New Roman" w:eastAsia="黑体" w:cs="Times New Roman"/>
          <w:snapToGrid w:val="0"/>
          <w:color w:val="auto"/>
          <w:sz w:val="32"/>
          <w:szCs w:val="32"/>
        </w:rPr>
      </w:pPr>
      <w:bookmarkStart w:id="23" w:name="_Toc68775758"/>
      <w:r>
        <w:rPr>
          <w:rFonts w:hint="default" w:ascii="Times New Roman" w:hAnsi="Times New Roman" w:eastAsia="黑体" w:cs="Times New Roman"/>
          <w:snapToGrid w:val="0"/>
          <w:color w:val="auto"/>
          <w:sz w:val="32"/>
          <w:szCs w:val="32"/>
        </w:rPr>
        <w:t>附表</w:t>
      </w:r>
      <w:bookmarkEnd w:id="23"/>
    </w:p>
    <w:p>
      <w:pPr>
        <w:pStyle w:val="27"/>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bookmarkStart w:id="24" w:name="_Toc68775759"/>
      <w:r>
        <w:rPr>
          <w:rFonts w:hint="default" w:ascii="Times New Roman" w:hAnsi="Times New Roman" w:eastAsia="方正小标宋_GBK" w:cs="Times New Roman"/>
          <w:snapToGrid w:val="0"/>
          <w:color w:val="auto"/>
          <w:sz w:val="38"/>
          <w:szCs w:val="38"/>
        </w:rPr>
        <w:t>建设项目污染物排放量汇总表</w:t>
      </w:r>
      <w:bookmarkEnd w:id="24"/>
    </w:p>
    <w:tbl>
      <w:tblPr>
        <w:tblStyle w:val="32"/>
        <w:tblW w:w="14318" w:type="dxa"/>
        <w:tblInd w:w="-39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979"/>
        <w:gridCol w:w="1843"/>
        <w:gridCol w:w="1275"/>
        <w:gridCol w:w="1701"/>
        <w:gridCol w:w="1560"/>
        <w:gridCol w:w="1842"/>
        <w:gridCol w:w="1946"/>
        <w:gridCol w:w="11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tcBorders>
              <w:tl2br w:val="single" w:color="auto" w:sz="4" w:space="0"/>
            </w:tcBorders>
            <w:tcMar>
              <w:left w:w="28" w:type="dxa"/>
              <w:right w:w="28" w:type="dxa"/>
            </w:tcMar>
            <w:vAlign w:val="center"/>
          </w:tcPr>
          <w:p>
            <w:pPr>
              <w:pStyle w:val="62"/>
              <w:spacing w:beforeLines="0" w:afterLines="0" w:line="240" w:lineRule="auto"/>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62"/>
              <w:spacing w:beforeLines="0" w:afterLines="0" w:line="240" w:lineRule="auto"/>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1979"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843"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排放量t/a（固体废物产生量）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275"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许可排放量t/a</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701"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排放量t/a（固体废物产生量）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560"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排放量t/a（固体废物产生量）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842"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w:t>
            </w:r>
            <w:r>
              <w:rPr>
                <w:rFonts w:hint="default" w:ascii="Times New Roman" w:hAnsi="Times New Roman" w:eastAsia="黑体" w:cs="Times New Roman"/>
                <w:snapToGrid w:val="0"/>
                <w:color w:val="auto"/>
                <w:spacing w:val="-6"/>
                <w:kern w:val="21"/>
                <w:sz w:val="24"/>
                <w:szCs w:val="24"/>
              </w:rPr>
              <w:t>t/a</w:t>
            </w:r>
          </w:p>
          <w:p>
            <w:pPr>
              <w:pStyle w:val="62"/>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946"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62"/>
              <w:spacing w:beforeLines="0" w:afterLines="0" w:line="240" w:lineRule="auto"/>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w:t>
            </w:r>
            <w:r>
              <w:rPr>
                <w:rFonts w:hint="default" w:ascii="Times New Roman" w:hAnsi="Times New Roman" w:eastAsia="黑体" w:cs="Times New Roman"/>
                <w:snapToGrid w:val="0"/>
                <w:color w:val="auto"/>
                <w:spacing w:val="-6"/>
                <w:kern w:val="21"/>
                <w:sz w:val="24"/>
                <w:szCs w:val="24"/>
              </w:rPr>
              <w:t>t/a</w:t>
            </w:r>
            <w:r>
              <w:rPr>
                <w:rFonts w:hint="default" w:ascii="Times New Roman" w:hAnsi="Times New Roman" w:eastAsia="黑体" w:cs="Times New Roman"/>
                <w:snapToGrid w:val="0"/>
                <w:color w:val="auto"/>
                <w:spacing w:val="-16"/>
                <w:kern w:val="21"/>
                <w:sz w:val="24"/>
                <w:szCs w:val="24"/>
              </w:rPr>
              <w:t>（固体废物产生量）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173" w:type="dxa"/>
            <w:tcMar>
              <w:left w:w="28" w:type="dxa"/>
              <w:right w:w="28" w:type="dxa"/>
            </w:tcMar>
            <w:vAlign w:val="center"/>
          </w:tcPr>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变化量t/a</w:t>
            </w:r>
          </w:p>
          <w:p>
            <w:pPr>
              <w:pStyle w:val="62"/>
              <w:spacing w:beforeLines="0" w:afterLines="0" w:line="240" w:lineRule="auto"/>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restart"/>
            <w:vAlign w:val="center"/>
          </w:tcPr>
          <w:p>
            <w:pPr>
              <w:pStyle w:val="62"/>
              <w:spacing w:beforeLines="0" w:afterLines="0" w:line="240" w:lineRule="auto"/>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cs="Times New Roman"/>
                <w:snapToGrid w:val="0"/>
                <w:color w:val="auto"/>
                <w:kern w:val="21"/>
                <w:sz w:val="24"/>
                <w:szCs w:val="24"/>
                <w:lang w:eastAsia="zh-CN"/>
              </w:rPr>
              <w:t>废气</w:t>
            </w: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烟尘</w:t>
            </w:r>
          </w:p>
        </w:tc>
        <w:tc>
          <w:tcPr>
            <w:tcW w:w="1843"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0.216</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0.216</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1843"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0.48</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0.48</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1843"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1.39</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1.39</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restart"/>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废水</w:t>
            </w: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COD</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0.173</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0.173</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氨氮</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0.013</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0.013</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SS</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0.1</w:t>
            </w:r>
            <w:r>
              <w:rPr>
                <w:rFonts w:hint="eastAsia" w:ascii="Times New Roman" w:hAnsi="Times New Roman" w:eastAsia="宋体" w:cs="Times New Roman"/>
                <w:color w:val="auto"/>
                <w:sz w:val="24"/>
                <w:szCs w:val="24"/>
                <w:lang w:val="en-US" w:eastAsia="zh-CN"/>
              </w:rPr>
              <w:t>94</w:t>
            </w:r>
          </w:p>
        </w:tc>
        <w:tc>
          <w:tcPr>
            <w:tcW w:w="1842"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w:t>
            </w:r>
            <w:r>
              <w:rPr>
                <w:rFonts w:hint="eastAsia" w:ascii="Times New Roman" w:hAnsi="Times New Roman" w:eastAsia="宋体" w:cs="Times New Roman"/>
                <w:color w:val="auto"/>
                <w:sz w:val="24"/>
                <w:szCs w:val="24"/>
                <w:lang w:val="en-US" w:eastAsia="zh-CN"/>
              </w:rPr>
              <w:t>94</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w:t>
            </w:r>
            <w:r>
              <w:rPr>
                <w:rFonts w:hint="eastAsia" w:cs="Times New Roman"/>
                <w:color w:val="auto"/>
                <w:sz w:val="24"/>
                <w:szCs w:val="24"/>
                <w:lang w:val="en-US" w:eastAsia="zh-CN"/>
              </w:rPr>
              <w:t>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BOD</w:t>
            </w:r>
            <w:r>
              <w:rPr>
                <w:rFonts w:hint="default" w:ascii="Times New Roman" w:hAnsi="Times New Roman" w:eastAsia="宋体" w:cs="Times New Roman"/>
                <w:color w:val="auto"/>
                <w:sz w:val="24"/>
                <w:szCs w:val="24"/>
                <w:vertAlign w:val="subscript"/>
                <w:lang w:val="en-US" w:eastAsia="zh-CN"/>
              </w:rPr>
              <w:t>5</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0.065</w:t>
            </w:r>
          </w:p>
        </w:tc>
        <w:tc>
          <w:tcPr>
            <w:tcW w:w="1842"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0.065</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restart"/>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一般工业固体废物</w:t>
            </w: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废纸箱及废包装袋</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0.2</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0.2</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玉米叶、玉米须</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50</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50</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不合格的果穗、青穗</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225</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225</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废弃玉米段</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225</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225</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锅炉灰渣</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98.0</w:t>
            </w:r>
          </w:p>
        </w:tc>
        <w:tc>
          <w:tcPr>
            <w:tcW w:w="1842" w:type="dxa"/>
            <w:vAlign w:val="center"/>
          </w:tcPr>
          <w:p>
            <w:pPr>
              <w:pStyle w:val="62"/>
              <w:spacing w:beforeLines="0" w:afterLines="0" w:line="240" w:lineRule="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98.0</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98.0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布袋除尘器收尘</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26.8</w:t>
            </w:r>
          </w:p>
        </w:tc>
        <w:tc>
          <w:tcPr>
            <w:tcW w:w="1842" w:type="dxa"/>
            <w:vAlign w:val="center"/>
          </w:tcPr>
          <w:p>
            <w:pPr>
              <w:pStyle w:val="62"/>
              <w:spacing w:beforeLines="0" w:afterLines="0" w:line="240" w:lineRule="auto"/>
              <w:rPr>
                <w:rFonts w:hint="default" w:ascii="Times New Roman" w:hAnsi="Times New Roman" w:eastAsia="宋体" w:cs="Times New Roman"/>
                <w:snapToGrid w:val="0"/>
                <w:color w:val="auto"/>
                <w:kern w:val="21"/>
                <w:sz w:val="24"/>
                <w:szCs w:val="24"/>
                <w:highlight w:val="yellow"/>
                <w:lang w:val="en-US" w:eastAsia="zh-CN" w:bidi="ar-SA"/>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26.8</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highlight w:val="none"/>
                <w:lang w:eastAsia="zh-CN"/>
              </w:rPr>
              <w:t>除尘器废布袋</w:t>
            </w:r>
          </w:p>
        </w:tc>
        <w:tc>
          <w:tcPr>
            <w:tcW w:w="1843" w:type="dxa"/>
            <w:vAlign w:val="center"/>
          </w:tcPr>
          <w:p>
            <w:pPr>
              <w:pStyle w:val="62"/>
              <w:spacing w:beforeLines="0" w:afterLines="0" w:line="240" w:lineRule="auto"/>
              <w:rPr>
                <w:rFonts w:hint="default" w:ascii="Times New Roman" w:hAnsi="Times New Roman" w:cs="Times New Roman"/>
                <w:color w:val="auto"/>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0.01</w:t>
            </w:r>
          </w:p>
        </w:tc>
        <w:tc>
          <w:tcPr>
            <w:tcW w:w="1842" w:type="dxa"/>
            <w:vAlign w:val="center"/>
          </w:tcPr>
          <w:p>
            <w:pPr>
              <w:pStyle w:val="62"/>
              <w:spacing w:beforeLines="0" w:afterLines="0" w:line="240" w:lineRule="auto"/>
              <w:rPr>
                <w:rFonts w:hint="default" w:ascii="Times New Roman" w:hAnsi="Times New Roman" w:cs="Times New Roman"/>
                <w:snapToGrid w:val="0"/>
                <w:color w:val="auto"/>
                <w:kern w:val="21"/>
                <w:sz w:val="24"/>
                <w:szCs w:val="24"/>
                <w:highlight w:val="yellow"/>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0.01</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Merge w:val="continue"/>
            <w:vAlign w:val="center"/>
          </w:tcPr>
          <w:p>
            <w:pPr>
              <w:pStyle w:val="62"/>
              <w:spacing w:beforeLines="0" w:afterLines="0" w:line="240" w:lineRule="auto"/>
              <w:rPr>
                <w:rFonts w:hint="default" w:ascii="Times New Roman" w:hAnsi="Times New Roman" w:cs="Times New Roman"/>
                <w:snapToGrid w:val="0"/>
                <w:color w:val="auto"/>
                <w:kern w:val="21"/>
                <w:sz w:val="24"/>
                <w:szCs w:val="24"/>
              </w:rPr>
            </w:pPr>
          </w:p>
        </w:tc>
        <w:tc>
          <w:tcPr>
            <w:tcW w:w="1979"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废离子交换树脂</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w:t>
            </w:r>
          </w:p>
        </w:tc>
        <w:tc>
          <w:tcPr>
            <w:tcW w:w="1842"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946"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w:t>
            </w:r>
          </w:p>
        </w:tc>
        <w:tc>
          <w:tcPr>
            <w:tcW w:w="1173" w:type="dxa"/>
            <w:vAlign w:val="center"/>
          </w:tcPr>
          <w:p>
            <w:pPr>
              <w:shd w:val="clea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dxa"/>
            <w:vAlign w:val="center"/>
          </w:tcPr>
          <w:p>
            <w:pPr>
              <w:pStyle w:val="62"/>
              <w:spacing w:beforeLines="0" w:afterLines="0" w:line="240" w:lineRule="auto"/>
              <w:rPr>
                <w:rFonts w:hint="default" w:ascii="Times New Roman" w:hAnsi="Times New Roman" w:eastAsia="宋体" w:cs="Times New Roman"/>
                <w:snapToGrid w:val="0"/>
                <w:color w:val="auto"/>
                <w:kern w:val="21"/>
                <w:sz w:val="24"/>
                <w:szCs w:val="24"/>
                <w:lang w:eastAsia="zh-CN"/>
              </w:rPr>
            </w:pPr>
            <w:r>
              <w:rPr>
                <w:rFonts w:hint="default" w:ascii="Times New Roman" w:hAnsi="Times New Roman" w:cs="Times New Roman"/>
                <w:snapToGrid w:val="0"/>
                <w:color w:val="auto"/>
                <w:kern w:val="21"/>
                <w:sz w:val="24"/>
                <w:szCs w:val="24"/>
                <w:lang w:eastAsia="zh-CN"/>
              </w:rPr>
              <w:t>生活垃圾</w:t>
            </w:r>
          </w:p>
        </w:tc>
        <w:tc>
          <w:tcPr>
            <w:tcW w:w="1979" w:type="dxa"/>
            <w:vAlign w:val="center"/>
          </w:tcPr>
          <w:p>
            <w:pPr>
              <w:pStyle w:val="62"/>
              <w:spacing w:beforeLines="0" w:afterLines="0" w:line="240" w:lineRule="auto"/>
              <w:rPr>
                <w:rFonts w:hint="default" w:ascii="Times New Roman" w:hAnsi="Times New Roman" w:cs="Times New Roman"/>
                <w:sz w:val="24"/>
                <w:szCs w:val="24"/>
              </w:rPr>
            </w:pPr>
            <w:r>
              <w:rPr>
                <w:rFonts w:hint="default" w:ascii="Times New Roman" w:hAnsi="Times New Roman" w:cs="Times New Roman"/>
                <w:snapToGrid w:val="0"/>
                <w:color w:val="auto"/>
                <w:kern w:val="21"/>
                <w:sz w:val="24"/>
                <w:szCs w:val="24"/>
                <w:lang w:eastAsia="zh-CN"/>
              </w:rPr>
              <w:t>生活垃圾</w:t>
            </w:r>
          </w:p>
        </w:tc>
        <w:tc>
          <w:tcPr>
            <w:tcW w:w="1843"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lang w:val="en-US" w:eastAsia="zh-CN"/>
              </w:rPr>
            </w:pPr>
            <w:r>
              <w:rPr>
                <w:rFonts w:hint="default" w:ascii="Times New Roman" w:hAnsi="Times New Roman" w:eastAsia="仿宋" w:cs="Times New Roman"/>
                <w:snapToGrid w:val="0"/>
                <w:color w:val="auto"/>
                <w:kern w:val="21"/>
                <w:sz w:val="24"/>
                <w:szCs w:val="24"/>
                <w:lang w:val="en-US" w:eastAsia="zh-CN"/>
              </w:rPr>
              <w:t>/</w:t>
            </w:r>
          </w:p>
        </w:tc>
        <w:tc>
          <w:tcPr>
            <w:tcW w:w="1275"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701"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560" w:type="dxa"/>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w:t>
            </w:r>
          </w:p>
        </w:tc>
        <w:tc>
          <w:tcPr>
            <w:tcW w:w="1842" w:type="dxa"/>
            <w:vAlign w:val="center"/>
          </w:tcPr>
          <w:p>
            <w:pPr>
              <w:pStyle w:val="62"/>
              <w:spacing w:beforeLines="0" w:afterLines="0" w:line="240" w:lineRule="auto"/>
              <w:rPr>
                <w:rFonts w:hint="default" w:ascii="Times New Roman" w:hAnsi="Times New Roman" w:eastAsia="仿宋" w:cs="Times New Roman"/>
                <w:snapToGrid w:val="0"/>
                <w:color w:val="auto"/>
                <w:kern w:val="21"/>
                <w:sz w:val="24"/>
                <w:szCs w:val="24"/>
              </w:rPr>
            </w:pPr>
            <w:r>
              <w:rPr>
                <w:rFonts w:hint="default" w:ascii="Times New Roman" w:hAnsi="Times New Roman" w:eastAsia="仿宋" w:cs="Times New Roman"/>
                <w:snapToGrid w:val="0"/>
                <w:color w:val="auto"/>
                <w:kern w:val="21"/>
                <w:sz w:val="24"/>
                <w:szCs w:val="24"/>
              </w:rPr>
              <w:t>/</w:t>
            </w:r>
          </w:p>
        </w:tc>
        <w:tc>
          <w:tcPr>
            <w:tcW w:w="1946"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6</w:t>
            </w:r>
          </w:p>
        </w:tc>
        <w:tc>
          <w:tcPr>
            <w:tcW w:w="1173" w:type="dxa"/>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+6</w:t>
            </w:r>
          </w:p>
        </w:tc>
      </w:tr>
    </w:tbl>
    <w:p>
      <w:pPr>
        <w:pStyle w:val="62"/>
        <w:spacing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pStyle w:val="27"/>
        <w:adjustRightInd w:val="0"/>
        <w:snapToGrid w:val="0"/>
        <w:spacing w:before="0" w:beforeAutospacing="0" w:after="0" w:afterAutospacing="0"/>
        <w:jc w:val="left"/>
        <w:outlineLvl w:val="0"/>
        <w:rPr>
          <w:rFonts w:hint="default" w:ascii="Times New Roman" w:hAnsi="Times New Roman" w:cs="Times New Roman"/>
          <w:b/>
          <w:bCs/>
          <w:color w:val="auto"/>
          <w:lang w:eastAsia="zh-CN"/>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bookmarkStart w:id="25" w:name="_Toc93327285"/>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附图</w:t>
      </w:r>
      <w:r>
        <w:rPr>
          <w:rFonts w:hint="default" w:ascii="Times New Roman" w:hAnsi="Times New Roman" w:cs="Times New Roman"/>
          <w:b/>
          <w:bCs/>
          <w:color w:val="auto"/>
          <w:lang w:val="en-US" w:eastAsia="zh-CN"/>
        </w:rPr>
        <w:t>1  项目地理位置图</w:t>
      </w:r>
    </w:p>
    <w:p>
      <w:pPr>
        <w:pStyle w:val="27"/>
        <w:adjustRightInd w:val="0"/>
        <w:snapToGrid w:val="0"/>
        <w:spacing w:before="0" w:beforeAutospacing="0" w:after="0" w:afterAutospacing="0"/>
        <w:jc w:val="left"/>
        <w:outlineLvl w:val="9"/>
        <w:rPr>
          <w:rFonts w:hint="default" w:ascii="Times New Roman" w:hAnsi="Times New Roman" w:cs="Times New Roman"/>
          <w:color w:val="auto"/>
          <w:lang w:eastAsia="zh-CN"/>
        </w:rPr>
      </w:pPr>
      <w:r>
        <w:drawing>
          <wp:inline distT="0" distB="0" distL="114300" distR="114300">
            <wp:extent cx="8031480" cy="5094605"/>
            <wp:effectExtent l="0" t="0" r="7620" b="10795"/>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47"/>
                    <a:stretch>
                      <a:fillRect/>
                    </a:stretch>
                  </pic:blipFill>
                  <pic:spPr>
                    <a:xfrm>
                      <a:off x="0" y="0"/>
                      <a:ext cx="8031480" cy="5094605"/>
                    </a:xfrm>
                    <a:prstGeom prst="rect">
                      <a:avLst/>
                    </a:prstGeom>
                    <a:noFill/>
                    <a:ln>
                      <a:noFill/>
                    </a:ln>
                  </pic:spPr>
                </pic:pic>
              </a:graphicData>
            </a:graphic>
          </wp:inline>
        </w:drawing>
      </w:r>
    </w:p>
    <w:p>
      <w:pPr>
        <w:pStyle w:val="27"/>
        <w:adjustRightInd w:val="0"/>
        <w:snapToGrid w:val="0"/>
        <w:spacing w:before="0" w:beforeAutospacing="0" w:after="0" w:afterAutospacing="0"/>
        <w:jc w:val="left"/>
        <w:outlineLvl w:val="9"/>
        <w:rPr>
          <w:rFonts w:hint="default" w:ascii="Times New Roman" w:hAnsi="Times New Roman" w:cs="Times New Roman"/>
          <w:color w:val="auto"/>
          <w:lang w:eastAsia="zh-CN"/>
        </w:rPr>
      </w:pPr>
    </w:p>
    <w:p>
      <w:pPr>
        <w:pStyle w:val="27"/>
        <w:adjustRightInd w:val="0"/>
        <w:snapToGrid w:val="0"/>
        <w:spacing w:before="0" w:beforeAutospacing="0" w:after="0" w:afterAutospacing="0"/>
        <w:jc w:val="left"/>
        <w:outlineLvl w:val="0"/>
        <w:rPr>
          <w:rFonts w:hint="default" w:ascii="Times New Roman" w:hAnsi="Times New Roman" w:eastAsia="宋体" w:cs="Times New Roman"/>
          <w:b/>
          <w:bCs/>
          <w:color w:val="auto"/>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eastAsia="zh-CN"/>
        </w:rPr>
        <w:t>附图</w:t>
      </w:r>
      <w:r>
        <w:rPr>
          <w:rFonts w:hint="default" w:ascii="Times New Roman" w:hAnsi="Times New Roman" w:cs="Times New Roman"/>
          <w:b/>
          <w:bCs/>
          <w:color w:val="auto"/>
          <w:highlight w:val="none"/>
          <w:lang w:val="en-US" w:eastAsia="zh-CN"/>
        </w:rPr>
        <w:t>2  厂区平面布置图</w:t>
      </w:r>
    </w:p>
    <w:p>
      <w:pPr>
        <w:pStyle w:val="27"/>
        <w:adjustRightInd w:val="0"/>
        <w:snapToGrid w:val="0"/>
        <w:spacing w:before="0" w:beforeAutospacing="0" w:after="0" w:afterAutospacing="0"/>
        <w:jc w:val="center"/>
        <w:outlineLvl w:val="9"/>
        <w:rPr>
          <w:rFonts w:hint="default" w:ascii="Times New Roman" w:hAnsi="Times New Roman" w:eastAsia="宋体" w:cs="Times New Roman"/>
          <w:color w:val="auto"/>
          <w:lang w:eastAsia="zh-CN"/>
        </w:rPr>
      </w:pPr>
      <w:r>
        <w:rPr>
          <w:rFonts w:hint="default"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14377670</wp:posOffset>
            </wp:positionH>
            <wp:positionV relativeFrom="paragraph">
              <wp:posOffset>830580</wp:posOffset>
            </wp:positionV>
            <wp:extent cx="1113155" cy="1110615"/>
            <wp:effectExtent l="0" t="0" r="10795" b="13335"/>
            <wp:wrapNone/>
            <wp:docPr id="2" name="图片 2" descr="2f261cd1b2f3cbdf3d51aefa8989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f261cd1b2f3cbdf3d51aefa8989a6a"/>
                    <pic:cNvPicPr>
                      <a:picLocks noChangeAspect="1"/>
                    </pic:cNvPicPr>
                  </pic:nvPicPr>
                  <pic:blipFill>
                    <a:blip r:embed="rId48"/>
                    <a:stretch>
                      <a:fillRect/>
                    </a:stretch>
                  </pic:blipFill>
                  <pic:spPr>
                    <a:xfrm>
                      <a:off x="0" y="0"/>
                      <a:ext cx="1113155" cy="1110615"/>
                    </a:xfrm>
                    <a:prstGeom prst="rect">
                      <a:avLst/>
                    </a:prstGeom>
                    <a:noFill/>
                    <a:ln>
                      <a:noFill/>
                    </a:ln>
                  </pic:spPr>
                </pic:pic>
              </a:graphicData>
            </a:graphic>
          </wp:anchor>
        </w:drawing>
      </w:r>
      <w:r>
        <w:drawing>
          <wp:inline distT="0" distB="0" distL="114300" distR="114300">
            <wp:extent cx="6056630" cy="5010785"/>
            <wp:effectExtent l="0" t="0" r="1270" b="18415"/>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pic:cNvPicPr>
                      <a:picLocks noChangeAspect="1"/>
                    </pic:cNvPicPr>
                  </pic:nvPicPr>
                  <pic:blipFill>
                    <a:blip r:embed="rId49"/>
                    <a:stretch>
                      <a:fillRect/>
                    </a:stretch>
                  </pic:blipFill>
                  <pic:spPr>
                    <a:xfrm>
                      <a:off x="0" y="0"/>
                      <a:ext cx="6056630" cy="5010785"/>
                    </a:xfrm>
                    <a:prstGeom prst="rect">
                      <a:avLst/>
                    </a:prstGeom>
                    <a:noFill/>
                    <a:ln>
                      <a:noFill/>
                    </a:ln>
                  </pic:spPr>
                </pic:pic>
              </a:graphicData>
            </a:graphic>
          </wp:inline>
        </w:drawing>
      </w:r>
    </w:p>
    <w:p>
      <w:pPr>
        <w:pStyle w:val="27"/>
        <w:adjustRightInd w:val="0"/>
        <w:snapToGrid w:val="0"/>
        <w:spacing w:before="0" w:beforeAutospacing="0" w:after="0" w:afterAutospacing="0"/>
        <w:outlineLvl w:val="9"/>
        <w:rPr>
          <w:rFonts w:hint="default" w:ascii="Times New Roman" w:hAnsi="Times New Roman" w:eastAsia="宋体" w:cs="Times New Roman"/>
          <w:b/>
          <w:color w:val="auto"/>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6881495</wp:posOffset>
                </wp:positionH>
                <wp:positionV relativeFrom="paragraph">
                  <wp:posOffset>4561205</wp:posOffset>
                </wp:positionV>
                <wp:extent cx="1714500" cy="467995"/>
                <wp:effectExtent l="0" t="0" r="0" b="8255"/>
                <wp:wrapNone/>
                <wp:docPr id="5" name="文本框 5"/>
                <wp:cNvGraphicFramePr/>
                <a:graphic xmlns:a="http://schemas.openxmlformats.org/drawingml/2006/main">
                  <a:graphicData uri="http://schemas.microsoft.com/office/word/2010/wordprocessingShape">
                    <wps:wsp>
                      <wps:cNvSpPr txBox="1"/>
                      <wps:spPr>
                        <a:xfrm>
                          <a:off x="7651750" y="5279390"/>
                          <a:ext cx="1714500" cy="467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eastAsia="zh-CN"/>
                              </w:rPr>
                              <w:t>比例尺</w:t>
                            </w:r>
                            <w:r>
                              <w:rPr>
                                <w:rFonts w:hint="eastAsia"/>
                                <w:lang w:val="en-US" w:eastAsia="zh-CN"/>
                              </w:rPr>
                              <w:t xml:space="preserve"> </w:t>
                            </w:r>
                            <w:r>
                              <w:rPr>
                                <w:rFonts w:hint="eastAsia"/>
                                <w:u w:val="single"/>
                                <w:lang w:val="en-US" w:eastAsia="zh-CN"/>
                              </w:rPr>
                              <w:t xml:space="preserve">  10m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1.85pt;margin-top:359.15pt;height:36.85pt;width:135pt;z-index:251659264;mso-width-relative:page;mso-height-relative:page;" fillcolor="#FFFFFF [3201]" filled="t" stroked="f" coordsize="21600,21600" o:gfxdata="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sKBDvW&#10;AAAADQEAAA8AAAAAAAAAAQAgAAAAIgAAAGRycy9kb3ducmV2LnhtbFBLAQIUABQAAAAIAIdO4kAN&#10;1uUzWwIAAJsEAAAOAAAAAAAAAAEAIAAAACUBAABkcnMvZTJvRG9jLnhtbFBLBQYAAAAABgAGAFkB&#10;AADyBQAAAAA=&#10;">
                <v:fill on="t" focussize="0,0"/>
                <v:stroke on="f" weight="0.5pt"/>
                <v:imagedata o:title=""/>
                <o:lock v:ext="edit" aspectratio="f"/>
                <v:textbox>
                  <w:txbxContent>
                    <w:p>
                      <w:pPr>
                        <w:rPr>
                          <w:rFonts w:hint="default" w:eastAsia="宋体"/>
                          <w:lang w:val="en-US" w:eastAsia="zh-CN"/>
                        </w:rPr>
                      </w:pPr>
                      <w:r>
                        <w:rPr>
                          <w:rFonts w:hint="eastAsia"/>
                          <w:lang w:eastAsia="zh-CN"/>
                        </w:rPr>
                        <w:t>比例尺</w:t>
                      </w:r>
                      <w:r>
                        <w:rPr>
                          <w:rFonts w:hint="eastAsia"/>
                          <w:lang w:val="en-US" w:eastAsia="zh-CN"/>
                        </w:rPr>
                        <w:t xml:space="preserve"> </w:t>
                      </w:r>
                      <w:r>
                        <w:rPr>
                          <w:rFonts w:hint="eastAsia"/>
                          <w:u w:val="single"/>
                          <w:lang w:val="en-US" w:eastAsia="zh-CN"/>
                        </w:rPr>
                        <w:t xml:space="preserve">  10m  </w:t>
                      </w:r>
                    </w:p>
                  </w:txbxContent>
                </v:textbox>
              </v:shape>
            </w:pict>
          </mc:Fallback>
        </mc:AlternateContent>
      </w: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附图</w:t>
      </w:r>
      <w:r>
        <w:rPr>
          <w:rFonts w:hint="default" w:ascii="Times New Roman" w:hAnsi="Times New Roman" w:cs="Times New Roman"/>
          <w:b/>
          <w:bCs/>
          <w:color w:val="auto"/>
          <w:lang w:val="en-US" w:eastAsia="zh-CN"/>
        </w:rPr>
        <w:t xml:space="preserve">3 </w:t>
      </w:r>
      <w:r>
        <w:rPr>
          <w:rFonts w:hint="default" w:ascii="Times New Roman" w:hAnsi="Times New Roman" w:cs="Times New Roman"/>
          <w:b/>
          <w:bCs/>
          <w:color w:val="auto"/>
          <w:lang w:eastAsia="zh-CN"/>
        </w:rPr>
        <w:t xml:space="preserve"> </w:t>
      </w:r>
      <w:r>
        <w:rPr>
          <w:rFonts w:hint="default" w:ascii="Times New Roman" w:hAnsi="Times New Roman" w:cs="Times New Roman"/>
          <w:b/>
          <w:bCs/>
          <w:color w:val="auto"/>
          <w:lang w:val="en-US" w:eastAsia="zh-CN"/>
        </w:rPr>
        <w:t>哈尔滨市</w:t>
      </w:r>
      <w:r>
        <w:rPr>
          <w:rFonts w:hint="default" w:ascii="Times New Roman" w:hAnsi="Times New Roman" w:cs="Times New Roman"/>
          <w:b/>
          <w:bCs/>
          <w:color w:val="auto"/>
          <w:lang w:eastAsia="zh-CN"/>
        </w:rPr>
        <w:t>环境管控单元图</w:t>
      </w:r>
    </w:p>
    <w:p>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mc:AlternateContent>
          <mc:Choice Requires="wps">
            <w:drawing>
              <wp:anchor distT="0" distB="0" distL="114300" distR="114300" simplePos="0" relativeHeight="251661312" behindDoc="0" locked="0" layoutInCell="1" allowOverlap="1">
                <wp:simplePos x="0" y="0"/>
                <wp:positionH relativeFrom="column">
                  <wp:posOffset>1372235</wp:posOffset>
                </wp:positionH>
                <wp:positionV relativeFrom="paragraph">
                  <wp:posOffset>3059430</wp:posOffset>
                </wp:positionV>
                <wp:extent cx="901700" cy="339090"/>
                <wp:effectExtent l="4445" t="149860" r="282575" b="13970"/>
                <wp:wrapNone/>
                <wp:docPr id="11" name="矩形标注 11"/>
                <wp:cNvGraphicFramePr/>
                <a:graphic xmlns:a="http://schemas.openxmlformats.org/drawingml/2006/main">
                  <a:graphicData uri="http://schemas.microsoft.com/office/word/2010/wordprocessingShape">
                    <wps:wsp>
                      <wps:cNvSpPr/>
                      <wps:spPr>
                        <a:xfrm>
                          <a:off x="0" y="0"/>
                          <a:ext cx="901700" cy="339090"/>
                        </a:xfrm>
                        <a:prstGeom prst="wedgeRectCallout">
                          <a:avLst>
                            <a:gd name="adj1" fmla="val 76760"/>
                            <a:gd name="adj2" fmla="val -9044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Times New Roman" w:hAnsi="Times New Roman" w:eastAsia="宋体" w:cs="Times New Roman"/>
                                <w:szCs w:val="20"/>
                              </w:rPr>
                            </w:pPr>
                            <w:r>
                              <w:rPr>
                                <w:rFonts w:hint="eastAsia" w:ascii="Times New Roman" w:hAnsi="Times New Roman" w:eastAsia="宋体" w:cs="Times New Roman"/>
                                <w:szCs w:val="20"/>
                              </w:rPr>
                              <w:t>项目所在地</w:t>
                            </w:r>
                          </w:p>
                        </w:txbxContent>
                      </wps:txbx>
                      <wps:bodyPr upright="1"/>
                    </wps:wsp>
                  </a:graphicData>
                </a:graphic>
              </wp:anchor>
            </w:drawing>
          </mc:Choice>
          <mc:Fallback>
            <w:pict>
              <v:shape id="_x0000_s1026" o:spid="_x0000_s1026" o:spt="61" type="#_x0000_t61" style="position:absolute;left:0pt;margin-left:108.05pt;margin-top:240.9pt;height:26.7pt;width:71pt;z-index:251661312;mso-width-relative:page;mso-height-relative:page;" fillcolor="#FFFFFF" filled="t" stroked="t" coordsize="21600,21600" o:gfxdata="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6cqt3YAAAACwEAAA8AAAAAAAAAAQAgAAAAIgAAAGRycy9kb3du&#10;cmV2LnhtbFBLAQIUABQAAAAIAIdO4kBH+4n3OAIAAI4EAAAOAAAAAAAAAAEAIAAAACcBAABkcnMv&#10;ZTJvRG9jLnhtbFBLBQYAAAAABgAGAFkBAADRBQAAAAA=&#10;" adj="27380,-8737">
                <v:fill on="t" focussize="0,0"/>
                <v:stroke color="#000000" joinstyle="miter"/>
                <v:imagedata o:title=""/>
                <o:lock v:ext="edit" aspectratio="f"/>
                <v:textbox>
                  <w:txbxContent>
                    <w:p>
                      <w:pPr>
                        <w:rPr>
                          <w:rFonts w:hint="eastAsia" w:ascii="Times New Roman" w:hAnsi="Times New Roman" w:eastAsia="宋体" w:cs="Times New Roman"/>
                          <w:szCs w:val="20"/>
                        </w:rPr>
                      </w:pPr>
                      <w:r>
                        <w:rPr>
                          <w:rFonts w:hint="eastAsia" w:ascii="Times New Roman" w:hAnsi="Times New Roman" w:eastAsia="宋体" w:cs="Times New Roman"/>
                          <w:szCs w:val="20"/>
                        </w:rPr>
                        <w:t>项目所在地</w:t>
                      </w:r>
                    </w:p>
                  </w:txbxContent>
                </v:textbox>
              </v:shape>
            </w:pict>
          </mc:Fallback>
        </mc:AlternateContent>
      </w:r>
      <w:r>
        <w:rPr>
          <w:rFonts w:hint="default" w:ascii="Times New Roman" w:hAnsi="Times New Roman" w:eastAsia="宋体" w:cs="Times New Roman"/>
          <w:color w:val="auto"/>
          <w:szCs w:val="20"/>
        </w:rPr>
        <mc:AlternateContent>
          <mc:Choice Requires="wps">
            <w:drawing>
              <wp:anchor distT="0" distB="0" distL="114300" distR="114300" simplePos="0" relativeHeight="251660288" behindDoc="0" locked="0" layoutInCell="1" allowOverlap="1">
                <wp:simplePos x="0" y="0"/>
                <wp:positionH relativeFrom="column">
                  <wp:posOffset>2528570</wp:posOffset>
                </wp:positionH>
                <wp:positionV relativeFrom="paragraph">
                  <wp:posOffset>2812415</wp:posOffset>
                </wp:positionV>
                <wp:extent cx="152400" cy="147955"/>
                <wp:effectExtent l="14605" t="15875" r="15875" b="19050"/>
                <wp:wrapNone/>
                <wp:docPr id="12" name="五角星 12"/>
                <wp:cNvGraphicFramePr/>
                <a:graphic xmlns:a="http://schemas.openxmlformats.org/drawingml/2006/main">
                  <a:graphicData uri="http://schemas.microsoft.com/office/word/2010/wordprocessingShape">
                    <wps:wsp>
                      <wps:cNvSpPr/>
                      <wps:spPr>
                        <a:xfrm>
                          <a:off x="0" y="0"/>
                          <a:ext cx="152400" cy="147955"/>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99.1pt;margin-top:221.45pt;height:11.65pt;width:12pt;z-index:251660288;mso-width-relative:page;mso-height-relative:page;" fillcolor="#FF0000" filled="t" stroked="t" coordsize="152400,147955" o:gfxdata="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mrcH2AAAAAsBAAAPAAAAAAAAAAEAIAAAACIAAABkcnMvZG93&#10;bnJldi54bWxQSwECFAAUAAAACACHTuJABryKKgACAAAjBAAADgAAAAAAAAABACAAAAAnAQAAZHJz&#10;L2Uyb0RvYy54bWxQSwUGAAAAAAYABgBZAQAAmQUAAAAA&#10;" path="m0,56513l58211,56514,76200,0,94188,56514,152399,56513,105305,91440,123294,147954,76200,113026,29105,147954,47094,91440xe">
                <v:path o:connectlocs="76200,0;0,56513;29105,147954;123294,147954;152399,56513" o:connectangles="247,164,82,82,0"/>
                <v:fill on="t" focussize="0,0"/>
                <v:stroke color="#FF0000" joinstyle="miter"/>
                <v:imagedata o:title=""/>
                <o:lock v:ext="edit" aspectratio="f"/>
              </v:shape>
            </w:pict>
          </mc:Fallback>
        </mc:AlternateContent>
      </w:r>
      <w:r>
        <w:rPr>
          <w:rFonts w:hint="default" w:ascii="Times New Roman" w:hAnsi="Times New Roman" w:eastAsia="宋体" w:cs="Times New Roman"/>
          <w:color w:val="auto"/>
          <w:szCs w:val="20"/>
        </w:rPr>
        <w:drawing>
          <wp:inline distT="0" distB="0" distL="114300" distR="114300">
            <wp:extent cx="7322820" cy="5173980"/>
            <wp:effectExtent l="0" t="0" r="7620" b="7620"/>
            <wp:docPr id="10"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图片1"/>
                    <pic:cNvPicPr>
                      <a:picLocks noChangeAspect="1"/>
                    </pic:cNvPicPr>
                  </pic:nvPicPr>
                  <pic:blipFill>
                    <a:blip r:embed="rId50"/>
                    <a:stretch>
                      <a:fillRect/>
                    </a:stretch>
                  </pic:blipFill>
                  <pic:spPr>
                    <a:xfrm>
                      <a:off x="0" y="0"/>
                      <a:ext cx="7322820" cy="5173980"/>
                    </a:xfrm>
                    <a:prstGeom prst="rect">
                      <a:avLst/>
                    </a:prstGeom>
                    <a:noFill/>
                    <a:ln>
                      <a:noFill/>
                    </a:ln>
                  </pic:spPr>
                </pic:pic>
              </a:graphicData>
            </a:graphic>
          </wp:inline>
        </w:drawing>
      </w:r>
    </w:p>
    <w:p>
      <w:pPr>
        <w:pStyle w:val="27"/>
        <w:adjustRightInd w:val="0"/>
        <w:snapToGrid w:val="0"/>
        <w:spacing w:before="0" w:beforeAutospacing="0" w:after="0" w:afterAutospacing="0"/>
        <w:outlineLvl w:val="0"/>
        <w:rPr>
          <w:rFonts w:hint="default" w:ascii="Times New Roman" w:hAnsi="Times New Roman" w:eastAsia="宋体" w:cs="Times New Roman"/>
          <w:b/>
          <w:color w:val="auto"/>
          <w:sz w:val="24"/>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附图4  评价范围及环境保护目标分布图</w:t>
      </w:r>
    </w:p>
    <w:p>
      <w:pPr>
        <w:pStyle w:val="29"/>
        <w:bidi w:val="0"/>
        <w:rPr>
          <w:rFonts w:hint="default" w:ascii="Times New Roman" w:hAnsi="Times New Roman" w:cs="Times New Roman"/>
          <w:lang w:val="en-US" w:eastAsia="zh-CN"/>
        </w:rPr>
      </w:pPr>
      <w:r>
        <w:drawing>
          <wp:inline distT="0" distB="0" distL="114300" distR="114300">
            <wp:extent cx="8189595" cy="5045710"/>
            <wp:effectExtent l="0" t="0" r="1905" b="254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51"/>
                    <a:stretch>
                      <a:fillRect/>
                    </a:stretch>
                  </pic:blipFill>
                  <pic:spPr>
                    <a:xfrm>
                      <a:off x="0" y="0"/>
                      <a:ext cx="8189595" cy="5045710"/>
                    </a:xfrm>
                    <a:prstGeom prst="rect">
                      <a:avLst/>
                    </a:prstGeom>
                    <a:noFill/>
                    <a:ln>
                      <a:noFill/>
                    </a:ln>
                  </pic:spPr>
                </pic:pic>
              </a:graphicData>
            </a:graphic>
          </wp:inline>
        </w:drawing>
      </w:r>
    </w:p>
    <w:p>
      <w:pPr>
        <w:pStyle w:val="29"/>
        <w:bidi w:val="0"/>
        <w:rPr>
          <w:rFonts w:hint="default" w:ascii="Times New Roman" w:hAnsi="Times New Roman" w:cs="Times New Roman"/>
          <w:lang w:val="en-US" w:eastAsia="zh-CN"/>
        </w:rPr>
      </w:pPr>
    </w:p>
    <w:p>
      <w:pPr>
        <w:pStyle w:val="27"/>
        <w:adjustRightInd w:val="0"/>
        <w:snapToGrid w:val="0"/>
        <w:spacing w:before="0" w:beforeAutospacing="0" w:after="0" w:afterAutospacing="0"/>
        <w:outlineLvl w:val="0"/>
        <w:rPr>
          <w:rFonts w:hint="default" w:ascii="Times New Roman" w:hAnsi="Times New Roman" w:eastAsia="宋体" w:cs="Times New Roman"/>
          <w:b/>
          <w:color w:val="auto"/>
          <w:sz w:val="24"/>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bookmarkEnd w:id="25"/>
    <w:p>
      <w:pPr>
        <w:tabs>
          <w:tab w:val="left" w:pos="1339"/>
        </w:tabs>
        <w:bidi w:val="0"/>
        <w:jc w:val="center"/>
        <w:rPr>
          <w:rFonts w:hint="default" w:ascii="Times New Roman" w:hAnsi="Times New Roman" w:cs="Times New Roman"/>
          <w:color w:val="auto"/>
          <w:lang w:val="en-US" w:eastAsia="zh-CN"/>
        </w:r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附件1：总量计算说明</w:t>
      </w:r>
    </w:p>
    <w:p>
      <w:pPr>
        <w:spacing w:line="360" w:lineRule="auto"/>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核定总量计算说明</w:t>
      </w:r>
    </w:p>
    <w:p>
      <w:pPr>
        <w:spacing w:line="360" w:lineRule="auto"/>
        <w:jc w:val="left"/>
        <w:rPr>
          <w:rFonts w:hint="default" w:ascii="Times New Roman" w:hAnsi="Times New Roman" w:cs="Times New Roman"/>
          <w:b w:val="0"/>
          <w:bCs/>
          <w:sz w:val="24"/>
          <w:szCs w:val="24"/>
        </w:rPr>
      </w:pPr>
      <w:r>
        <w:rPr>
          <w:rFonts w:hint="default" w:ascii="Times New Roman" w:hAnsi="Times New Roman" w:cs="Times New Roman"/>
          <w:b w:val="0"/>
          <w:bCs/>
          <w:sz w:val="24"/>
          <w:szCs w:val="24"/>
        </w:rPr>
        <w:t>1、废气污染物核定总量</w:t>
      </w:r>
    </w:p>
    <w:p>
      <w:pPr>
        <w:spacing w:line="360" w:lineRule="auto"/>
        <w:jc w:val="center"/>
        <w:rPr>
          <w:rFonts w:hint="default" w:ascii="Times New Roman" w:hAnsi="Times New Roman" w:cs="Times New Roman"/>
          <w:b w:val="0"/>
          <w:bCs/>
          <w:sz w:val="24"/>
          <w:szCs w:val="24"/>
        </w:rPr>
      </w:pPr>
      <w:r>
        <w:rPr>
          <w:rFonts w:hint="default" w:ascii="Times New Roman" w:hAnsi="Times New Roman" w:cs="Times New Roman"/>
          <w:b w:val="0"/>
          <w:bCs/>
          <w:sz w:val="24"/>
          <w:szCs w:val="24"/>
        </w:rPr>
        <w:t>表1 基准烟气量取值表</w:t>
      </w:r>
    </w:p>
    <w:tbl>
      <w:tblPr>
        <w:tblStyle w:val="3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144"/>
        <w:gridCol w:w="1418"/>
        <w:gridCol w:w="2824"/>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gridSpan w:val="3"/>
            <w:tcBorders>
              <w:tl2br w:val="nil"/>
              <w:tr2bl w:val="nil"/>
            </w:tcBorders>
            <w:vAlign w:val="center"/>
          </w:tcPr>
          <w:p>
            <w:pPr>
              <w:ind w:left="482" w:hanging="482"/>
              <w:jc w:val="left"/>
              <w:rPr>
                <w:rFonts w:hint="default" w:ascii="Times New Roman" w:hAnsi="Times New Roman" w:cs="Times New Roman"/>
                <w:b/>
                <w:szCs w:val="21"/>
              </w:rPr>
            </w:pPr>
            <w:r>
              <w:rPr>
                <w:rFonts w:hint="default" w:ascii="Times New Roman" w:hAnsi="Times New Roman" w:cs="Times New Roman"/>
                <w:b/>
                <w:szCs w:val="21"/>
              </w:rPr>
              <w:t>锅炉</w:t>
            </w:r>
          </w:p>
        </w:tc>
        <w:tc>
          <w:tcPr>
            <w:tcW w:w="2824" w:type="dxa"/>
            <w:tcBorders>
              <w:tl2br w:val="nil"/>
              <w:tr2bl w:val="nil"/>
            </w:tcBorders>
            <w:vAlign w:val="center"/>
          </w:tcPr>
          <w:p>
            <w:pPr>
              <w:jc w:val="left"/>
              <w:rPr>
                <w:rFonts w:hint="default" w:ascii="Times New Roman" w:hAnsi="Times New Roman" w:cs="Times New Roman"/>
                <w:b/>
                <w:szCs w:val="21"/>
              </w:rPr>
            </w:pPr>
            <w:r>
              <w:rPr>
                <w:rFonts w:hint="default" w:ascii="Times New Roman" w:hAnsi="Times New Roman" w:cs="Times New Roman"/>
                <w:b/>
                <w:szCs w:val="21"/>
              </w:rPr>
              <w:t>基准烟气量</w:t>
            </w:r>
          </w:p>
        </w:tc>
        <w:tc>
          <w:tcPr>
            <w:tcW w:w="1003" w:type="dxa"/>
            <w:tcBorders>
              <w:tl2br w:val="nil"/>
              <w:tr2bl w:val="nil"/>
            </w:tcBorders>
            <w:vAlign w:val="center"/>
          </w:tcPr>
          <w:p>
            <w:pPr>
              <w:jc w:val="left"/>
              <w:rPr>
                <w:rFonts w:hint="default" w:ascii="Times New Roman" w:hAnsi="Times New Roman" w:cs="Times New Roman"/>
                <w:b/>
                <w:szCs w:val="21"/>
              </w:rPr>
            </w:pPr>
            <w:r>
              <w:rPr>
                <w:rFonts w:hint="default" w:ascii="Times New Roman" w:hAnsi="Times New Roman" w:cs="Times New Roman"/>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08" w:type="dxa"/>
            <w:vMerge w:val="restart"/>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燃煤锅炉</w:t>
            </w:r>
          </w:p>
        </w:tc>
        <w:tc>
          <w:tcPr>
            <w:tcW w:w="2144" w:type="dxa"/>
            <w:vMerge w:val="restart"/>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Q</w:t>
            </w:r>
            <w:r>
              <w:rPr>
                <w:rFonts w:hint="default" w:ascii="Times New Roman" w:hAnsi="Times New Roman" w:cs="Times New Roman"/>
                <w:szCs w:val="21"/>
                <w:vertAlign w:val="subscript"/>
              </w:rPr>
              <w:t>net，ar</w:t>
            </w:r>
            <w:r>
              <w:rPr>
                <w:rFonts w:hint="default" w:ascii="Times New Roman" w:hAnsi="Times New Roman" w:cs="Times New Roman"/>
                <w:szCs w:val="21"/>
              </w:rPr>
              <w:t>≥12.54MJ/kg</w:t>
            </w:r>
          </w:p>
        </w:tc>
        <w:tc>
          <w:tcPr>
            <w:tcW w:w="1418"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daf</w:t>
            </w:r>
            <w:r>
              <w:rPr>
                <w:rFonts w:hint="default" w:ascii="Times New Roman" w:hAnsi="Times New Roman" w:cs="Times New Roman"/>
                <w:szCs w:val="21"/>
              </w:rPr>
              <w:t>≥15%</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=0.411Q</w:t>
            </w:r>
            <w:r>
              <w:rPr>
                <w:rFonts w:hint="default" w:ascii="Times New Roman" w:hAnsi="Times New Roman" w:cs="Times New Roman"/>
                <w:szCs w:val="21"/>
                <w:vertAlign w:val="subscript"/>
              </w:rPr>
              <w:t>net，ar</w:t>
            </w:r>
            <w:r>
              <w:rPr>
                <w:rFonts w:hint="default" w:ascii="Times New Roman" w:hAnsi="Times New Roman" w:cs="Times New Roman"/>
                <w:szCs w:val="21"/>
              </w:rPr>
              <w:t>+0.918</w:t>
            </w:r>
          </w:p>
        </w:tc>
        <w:tc>
          <w:tcPr>
            <w:tcW w:w="1003"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508" w:type="dxa"/>
            <w:vMerge w:val="continue"/>
            <w:tcBorders>
              <w:tl2br w:val="nil"/>
              <w:tr2bl w:val="nil"/>
            </w:tcBorders>
            <w:vAlign w:val="center"/>
          </w:tcPr>
          <w:p>
            <w:pPr>
              <w:ind w:left="961" w:hanging="482"/>
              <w:jc w:val="left"/>
              <w:rPr>
                <w:rFonts w:hint="default" w:ascii="Times New Roman" w:hAnsi="Times New Roman" w:cs="Times New Roman"/>
                <w:szCs w:val="21"/>
              </w:rPr>
            </w:pPr>
          </w:p>
        </w:tc>
        <w:tc>
          <w:tcPr>
            <w:tcW w:w="2144" w:type="dxa"/>
            <w:vMerge w:val="continue"/>
            <w:tcBorders>
              <w:tl2br w:val="nil"/>
              <w:tr2bl w:val="nil"/>
            </w:tcBorders>
            <w:vAlign w:val="center"/>
          </w:tcPr>
          <w:p>
            <w:pPr>
              <w:jc w:val="left"/>
              <w:rPr>
                <w:rFonts w:hint="default" w:ascii="Times New Roman" w:hAnsi="Times New Roman" w:cs="Times New Roman"/>
                <w:szCs w:val="21"/>
              </w:rPr>
            </w:pPr>
          </w:p>
        </w:tc>
        <w:tc>
          <w:tcPr>
            <w:tcW w:w="1418"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daf</w:t>
            </w:r>
            <w:r>
              <w:rPr>
                <w:rFonts w:hint="default" w:ascii="Times New Roman" w:hAnsi="Times New Roman" w:cs="Times New Roman"/>
                <w:szCs w:val="21"/>
              </w:rPr>
              <w:t>＜15%</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=0.406Q</w:t>
            </w:r>
            <w:r>
              <w:rPr>
                <w:rFonts w:hint="default" w:ascii="Times New Roman" w:hAnsi="Times New Roman" w:cs="Times New Roman"/>
                <w:szCs w:val="21"/>
                <w:vertAlign w:val="subscript"/>
              </w:rPr>
              <w:t>net，ar</w:t>
            </w:r>
            <w:r>
              <w:rPr>
                <w:rFonts w:hint="default" w:ascii="Times New Roman" w:hAnsi="Times New Roman" w:cs="Times New Roman"/>
                <w:szCs w:val="21"/>
              </w:rPr>
              <w:t>+1.157</w:t>
            </w:r>
          </w:p>
        </w:tc>
        <w:tc>
          <w:tcPr>
            <w:tcW w:w="1003"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508" w:type="dxa"/>
            <w:vMerge w:val="continue"/>
            <w:tcBorders>
              <w:tl2br w:val="nil"/>
              <w:tr2bl w:val="nil"/>
            </w:tcBorders>
            <w:vAlign w:val="center"/>
          </w:tcPr>
          <w:p>
            <w:pPr>
              <w:ind w:left="961" w:hanging="482"/>
              <w:jc w:val="left"/>
              <w:rPr>
                <w:rFonts w:hint="default" w:ascii="Times New Roman" w:hAnsi="Times New Roman" w:cs="Times New Roman"/>
                <w:szCs w:val="21"/>
              </w:rPr>
            </w:pP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Qnet，ar＜12.54MJ/kg</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=0.402Q</w:t>
            </w:r>
            <w:r>
              <w:rPr>
                <w:rFonts w:hint="default" w:ascii="Times New Roman" w:hAnsi="Times New Roman" w:cs="Times New Roman"/>
                <w:szCs w:val="21"/>
                <w:vertAlign w:val="subscript"/>
              </w:rPr>
              <w:t>net，ar</w:t>
            </w:r>
            <w:r>
              <w:rPr>
                <w:rFonts w:hint="default" w:ascii="Times New Roman" w:hAnsi="Times New Roman" w:cs="Times New Roman"/>
                <w:szCs w:val="21"/>
              </w:rPr>
              <w:t>+0.822</w:t>
            </w:r>
          </w:p>
        </w:tc>
        <w:tc>
          <w:tcPr>
            <w:tcW w:w="1003"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070" w:type="dxa"/>
            <w:gridSpan w:val="3"/>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燃油锅炉</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=0.29Q</w:t>
            </w:r>
            <w:r>
              <w:rPr>
                <w:rFonts w:hint="default" w:ascii="Times New Roman" w:hAnsi="Times New Roman" w:cs="Times New Roman"/>
                <w:szCs w:val="21"/>
                <w:vertAlign w:val="subscript"/>
              </w:rPr>
              <w:t>net，ar</w:t>
            </w:r>
            <w:r>
              <w:rPr>
                <w:rFonts w:hint="default" w:ascii="Times New Roman" w:hAnsi="Times New Roman" w:cs="Times New Roman"/>
                <w:szCs w:val="21"/>
              </w:rPr>
              <w:t>+0.379</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08" w:type="dxa"/>
            <w:vMerge w:val="restart"/>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燃气锅炉</w:t>
            </w: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天然气</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=0.285Q</w:t>
            </w:r>
            <w:r>
              <w:rPr>
                <w:rFonts w:hint="default" w:ascii="Times New Roman" w:hAnsi="Times New Roman" w:cs="Times New Roman"/>
                <w:szCs w:val="21"/>
                <w:vertAlign w:val="subscript"/>
              </w:rPr>
              <w:t>net</w:t>
            </w:r>
            <w:r>
              <w:rPr>
                <w:rFonts w:hint="default" w:ascii="Times New Roman" w:hAnsi="Times New Roman" w:cs="Times New Roman"/>
                <w:szCs w:val="21"/>
              </w:rPr>
              <w:t>+0.343</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8"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高炉煤气</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=0.194Q</w:t>
            </w:r>
            <w:r>
              <w:rPr>
                <w:rFonts w:hint="default" w:ascii="Times New Roman" w:hAnsi="Times New Roman" w:cs="Times New Roman"/>
                <w:szCs w:val="21"/>
                <w:vertAlign w:val="subscript"/>
              </w:rPr>
              <w:t>net</w:t>
            </w:r>
            <w:r>
              <w:rPr>
                <w:rFonts w:hint="default" w:ascii="Times New Roman" w:hAnsi="Times New Roman" w:cs="Times New Roman"/>
                <w:szCs w:val="21"/>
              </w:rPr>
              <w:t>+0.946</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508"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转炉煤气</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=0.19Q</w:t>
            </w:r>
            <w:r>
              <w:rPr>
                <w:rFonts w:hint="default" w:ascii="Times New Roman" w:hAnsi="Times New Roman" w:cs="Times New Roman"/>
                <w:szCs w:val="21"/>
                <w:vertAlign w:val="subscript"/>
              </w:rPr>
              <w:t>net</w:t>
            </w:r>
            <w:r>
              <w:rPr>
                <w:rFonts w:hint="default" w:ascii="Times New Roman" w:hAnsi="Times New Roman" w:cs="Times New Roman"/>
                <w:szCs w:val="21"/>
              </w:rPr>
              <w:t>+0.926</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08"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焦炉煤气</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=0.265Q</w:t>
            </w:r>
            <w:r>
              <w:rPr>
                <w:rFonts w:hint="default" w:ascii="Times New Roman" w:hAnsi="Times New Roman" w:cs="Times New Roman"/>
                <w:szCs w:val="21"/>
                <w:vertAlign w:val="subscript"/>
              </w:rPr>
              <w:t>net</w:t>
            </w:r>
            <w:r>
              <w:rPr>
                <w:rFonts w:hint="default" w:ascii="Times New Roman" w:hAnsi="Times New Roman" w:cs="Times New Roman"/>
                <w:szCs w:val="21"/>
              </w:rPr>
              <w:t>+0.114</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/m</w:t>
            </w:r>
            <w:r>
              <w:rPr>
                <w:rFonts w:hint="default" w:ascii="Times New Roman" w:hAnsi="Times New Roman" w:cs="Times New Roman"/>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08" w:type="dxa"/>
            <w:vMerge w:val="restart"/>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燃生物质蒸汽锅炉</w:t>
            </w:r>
          </w:p>
        </w:tc>
        <w:tc>
          <w:tcPr>
            <w:tcW w:w="2144" w:type="dxa"/>
            <w:vMerge w:val="restart"/>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Qnet，ar≥12.54MJ/kg</w:t>
            </w:r>
          </w:p>
        </w:tc>
        <w:tc>
          <w:tcPr>
            <w:tcW w:w="1418"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Vdaf≥15%</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=0.393Q</w:t>
            </w:r>
            <w:r>
              <w:rPr>
                <w:rFonts w:hint="default" w:ascii="Times New Roman" w:hAnsi="Times New Roman" w:cs="Times New Roman"/>
                <w:szCs w:val="21"/>
                <w:vertAlign w:val="subscript"/>
              </w:rPr>
              <w:t>net，ar</w:t>
            </w:r>
            <w:r>
              <w:rPr>
                <w:rFonts w:hint="default" w:ascii="Times New Roman" w:hAnsi="Times New Roman" w:cs="Times New Roman"/>
                <w:szCs w:val="21"/>
              </w:rPr>
              <w:t>+0.876</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508"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2144"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1418"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Vdaf＜15%</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=0.385Q</w:t>
            </w:r>
            <w:r>
              <w:rPr>
                <w:rFonts w:hint="default" w:ascii="Times New Roman" w:hAnsi="Times New Roman" w:cs="Times New Roman"/>
                <w:szCs w:val="21"/>
                <w:vertAlign w:val="subscript"/>
              </w:rPr>
              <w:t>net，ar</w:t>
            </w:r>
            <w:r>
              <w:rPr>
                <w:rFonts w:hint="default" w:ascii="Times New Roman" w:hAnsi="Times New Roman" w:cs="Times New Roman"/>
                <w:szCs w:val="21"/>
              </w:rPr>
              <w:t>+1.095</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08" w:type="dxa"/>
            <w:vMerge w:val="continue"/>
            <w:tcBorders>
              <w:tl2br w:val="nil"/>
              <w:tr2bl w:val="nil"/>
            </w:tcBorders>
            <w:vAlign w:val="center"/>
          </w:tcPr>
          <w:p>
            <w:pPr>
              <w:ind w:left="482" w:hanging="482"/>
              <w:jc w:val="left"/>
              <w:rPr>
                <w:rFonts w:hint="default" w:ascii="Times New Roman" w:hAnsi="Times New Roman" w:cs="Times New Roman"/>
                <w:szCs w:val="21"/>
              </w:rPr>
            </w:pPr>
          </w:p>
        </w:tc>
        <w:tc>
          <w:tcPr>
            <w:tcW w:w="3562" w:type="dxa"/>
            <w:gridSpan w:val="2"/>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Qnet，ar＜12.54MJ/kg</w:t>
            </w:r>
          </w:p>
        </w:tc>
        <w:tc>
          <w:tcPr>
            <w:tcW w:w="2824"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V</w:t>
            </w:r>
            <w:r>
              <w:rPr>
                <w:rFonts w:hint="default" w:ascii="Times New Roman" w:hAnsi="Times New Roman" w:cs="Times New Roman"/>
                <w:szCs w:val="21"/>
                <w:vertAlign w:val="subscript"/>
              </w:rPr>
              <w:t>gy</w:t>
            </w:r>
            <w:r>
              <w:rPr>
                <w:rFonts w:hint="default" w:ascii="Times New Roman" w:hAnsi="Times New Roman" w:cs="Times New Roman"/>
                <w:szCs w:val="21"/>
              </w:rPr>
              <w:t>=0.385Q</w:t>
            </w:r>
            <w:r>
              <w:rPr>
                <w:rFonts w:hint="default" w:ascii="Times New Roman" w:hAnsi="Times New Roman" w:cs="Times New Roman"/>
                <w:szCs w:val="21"/>
                <w:vertAlign w:val="subscript"/>
              </w:rPr>
              <w:t>net，ar</w:t>
            </w:r>
            <w:r>
              <w:rPr>
                <w:rFonts w:hint="default" w:ascii="Times New Roman" w:hAnsi="Times New Roman" w:cs="Times New Roman"/>
                <w:szCs w:val="21"/>
              </w:rPr>
              <w:t>+0.788</w:t>
            </w:r>
          </w:p>
        </w:tc>
        <w:tc>
          <w:tcPr>
            <w:tcW w:w="1003" w:type="dxa"/>
            <w:tcBorders>
              <w:tl2br w:val="nil"/>
              <w:tr2bl w:val="nil"/>
            </w:tcBorders>
            <w:vAlign w:val="center"/>
          </w:tcPr>
          <w:p>
            <w:pPr>
              <w:ind w:left="482" w:hanging="482"/>
              <w:jc w:val="left"/>
              <w:rPr>
                <w:rFonts w:hint="default" w:ascii="Times New Roman" w:hAnsi="Times New Roman" w:cs="Times New Roman"/>
                <w:szCs w:val="21"/>
              </w:rPr>
            </w:pPr>
            <w:r>
              <w:rPr>
                <w:rFonts w:hint="default" w:ascii="Times New Roman" w:hAnsi="Times New Roman" w:cs="Times New Roman"/>
                <w:szCs w:val="21"/>
              </w:rPr>
              <w:t>Nm</w:t>
            </w:r>
            <w:r>
              <w:rPr>
                <w:rFonts w:hint="default" w:ascii="Times New Roman" w:hAnsi="Times New Roman" w:cs="Times New Roman"/>
                <w:szCs w:val="21"/>
                <w:vertAlign w:val="superscript"/>
              </w:rPr>
              <w:t>3</w:t>
            </w:r>
            <w:r>
              <w:rPr>
                <w:rFonts w:hint="default" w:ascii="Times New Roman" w:hAnsi="Times New Roman" w:cs="Times New Roman"/>
                <w:szCs w:val="21"/>
              </w:rPr>
              <w:t>/kg</w:t>
            </w:r>
          </w:p>
        </w:tc>
      </w:tr>
    </w:tbl>
    <w:p>
      <w:pPr>
        <w:spacing w:line="360" w:lineRule="auto"/>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注：1.V</w:t>
      </w:r>
      <w:r>
        <w:rPr>
          <w:rFonts w:hint="default" w:ascii="Times New Roman" w:hAnsi="Times New Roman" w:cs="Times New Roman"/>
          <w:b w:val="0"/>
          <w:bCs w:val="0"/>
          <w:sz w:val="24"/>
          <w:szCs w:val="24"/>
          <w:vertAlign w:val="subscript"/>
        </w:rPr>
        <w:t>daf</w:t>
      </w:r>
      <w:r>
        <w:rPr>
          <w:rFonts w:hint="default" w:ascii="Times New Roman" w:hAnsi="Times New Roman" w:cs="Times New Roman"/>
          <w:b w:val="0"/>
          <w:bCs w:val="0"/>
          <w:sz w:val="24"/>
          <w:szCs w:val="24"/>
        </w:rPr>
        <w:t>，燃料干燥无灰基挥发分（%）； V</w:t>
      </w:r>
      <w:r>
        <w:rPr>
          <w:rFonts w:hint="default" w:ascii="Times New Roman" w:hAnsi="Times New Roman" w:cs="Times New Roman"/>
          <w:b w:val="0"/>
          <w:bCs w:val="0"/>
          <w:sz w:val="24"/>
          <w:szCs w:val="24"/>
          <w:vertAlign w:val="subscript"/>
        </w:rPr>
        <w:t>gy</w:t>
      </w:r>
      <w:r>
        <w:rPr>
          <w:rFonts w:hint="default" w:ascii="Times New Roman" w:hAnsi="Times New Roman" w:cs="Times New Roman"/>
          <w:b w:val="0"/>
          <w:bCs w:val="0"/>
          <w:sz w:val="24"/>
          <w:szCs w:val="24"/>
        </w:rPr>
        <w:t>，基准烟气量（Nm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/kg或Nm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w:t>
      </w:r>
    </w:p>
    <w:p>
      <w:pPr>
        <w:spacing w:line="360" w:lineRule="auto"/>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 Q</w:t>
      </w:r>
      <w:r>
        <w:rPr>
          <w:rFonts w:hint="default" w:ascii="Times New Roman" w:hAnsi="Times New Roman" w:cs="Times New Roman"/>
          <w:b w:val="0"/>
          <w:bCs w:val="0"/>
          <w:sz w:val="24"/>
          <w:szCs w:val="24"/>
          <w:vertAlign w:val="subscript"/>
        </w:rPr>
        <w:t>net，ar</w:t>
      </w:r>
      <w:r>
        <w:rPr>
          <w:rFonts w:hint="default" w:ascii="Times New Roman" w:hAnsi="Times New Roman" w:cs="Times New Roman"/>
          <w:b w:val="0"/>
          <w:bCs w:val="0"/>
          <w:sz w:val="24"/>
          <w:szCs w:val="24"/>
        </w:rPr>
        <w:t>，固体/液体燃料收到基低位发热量（MJ/kg）；Q</w:t>
      </w:r>
      <w:r>
        <w:rPr>
          <w:rFonts w:hint="default" w:ascii="Times New Roman" w:hAnsi="Times New Roman" w:cs="Times New Roman"/>
          <w:b w:val="0"/>
          <w:bCs w:val="0"/>
          <w:sz w:val="24"/>
          <w:szCs w:val="24"/>
          <w:vertAlign w:val="subscript"/>
        </w:rPr>
        <w:t>net</w:t>
      </w:r>
      <w:r>
        <w:rPr>
          <w:rFonts w:hint="eastAsia" w:cs="Times New Roman"/>
          <w:b w:val="0"/>
          <w:bCs w:val="0"/>
          <w:sz w:val="24"/>
          <w:szCs w:val="24"/>
          <w:vertAlign w:val="subscript"/>
          <w:lang w:eastAsia="zh-CN"/>
        </w:rPr>
        <w:t>，</w:t>
      </w:r>
      <w:r>
        <w:rPr>
          <w:rFonts w:hint="default" w:ascii="Times New Roman" w:hAnsi="Times New Roman" w:cs="Times New Roman"/>
          <w:b w:val="0"/>
          <w:bCs w:val="0"/>
          <w:sz w:val="24"/>
          <w:szCs w:val="24"/>
        </w:rPr>
        <w:t>气体燃料低位发热量（MJ/m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）；按前三年所有批次燃料低位发热量的平均值进行选取，未投运或投运不满一年的锅炉按设计燃料低位发热量进行选取，投运满一年但未满三年的锅炉按运行周期年内所有批次燃料低位发热量的平均值选取。</w:t>
      </w:r>
    </w:p>
    <w:p>
      <w:pPr>
        <w:spacing w:line="360" w:lineRule="auto"/>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3.经验公式估算法不适用于使用型煤、水煤浆、煤矸石、石油焦、油页岩、发生炉煤气、沼气、黄磷尾气、生物质气体等燃料的基准烟气量计算。</w:t>
      </w:r>
    </w:p>
    <w:p>
      <w:pPr>
        <w:spacing w:line="360" w:lineRule="auto"/>
        <w:jc w:val="cente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表2 大气污染物许可排放量调整系数取值表</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981"/>
        <w:gridCol w:w="1417"/>
        <w:gridCol w:w="1134"/>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gridSpan w:val="2"/>
            <w:tcBorders>
              <w:tl2br w:val="nil"/>
              <w:tr2bl w:val="nil"/>
            </w:tcBorders>
            <w:vAlign w:val="center"/>
          </w:tcPr>
          <w:p>
            <w:pPr>
              <w:ind w:firstLine="3780" w:firstLineChars="1800"/>
              <w:jc w:val="left"/>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19685</wp:posOffset>
                      </wp:positionV>
                      <wp:extent cx="3198495" cy="296545"/>
                      <wp:effectExtent l="635" t="4445" r="1270" b="22860"/>
                      <wp:wrapNone/>
                      <wp:docPr id="56" name="直接箭头连接符 1"/>
                      <wp:cNvGraphicFramePr/>
                      <a:graphic xmlns:a="http://schemas.openxmlformats.org/drawingml/2006/main">
                        <a:graphicData uri="http://schemas.microsoft.com/office/word/2010/wordprocessingShape">
                          <wps:wsp>
                            <wps:cNvCnPr/>
                            <wps:spPr>
                              <a:xfrm>
                                <a:off x="0" y="0"/>
                                <a:ext cx="3198495" cy="2965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 o:spid="_x0000_s1026" o:spt="32" type="#_x0000_t32" style="position:absolute;left:0pt;margin-left:-4.5pt;margin-top:1.55pt;height:23.35pt;width:251.85pt;z-index:251663360;mso-width-relative:page;mso-height-relative:page;" filled="f" stroked="t" coordsize="21600,21600" o:gfxdata="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pi551wAAAAcBAAAPAAAAAAAAAAEAIAAAACIAAABk&#10;cnMvZG93bnJldi54bWxQSwECFAAUAAAACACHTuJASQXTggcCAAAABAAADgAAAAAAAAABACAAAAAm&#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szCs w:val="21"/>
              </w:rPr>
              <w:t>污染物项目</w:t>
            </w:r>
          </w:p>
          <w:p>
            <w:pPr>
              <w:jc w:val="left"/>
              <w:rPr>
                <w:rFonts w:hint="default" w:ascii="Times New Roman" w:hAnsi="Times New Roman" w:cs="Times New Roman"/>
                <w:szCs w:val="21"/>
              </w:rPr>
            </w:pPr>
            <w:r>
              <w:rPr>
                <w:rFonts w:hint="default" w:ascii="Times New Roman" w:hAnsi="Times New Roman" w:cs="Times New Roman"/>
                <w:szCs w:val="21"/>
              </w:rPr>
              <w:t>锅炉排污单位执行标准</w:t>
            </w:r>
          </w:p>
        </w:tc>
        <w:tc>
          <w:tcPr>
            <w:tcW w:w="1417"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二氧化硫</w:t>
            </w:r>
          </w:p>
        </w:tc>
        <w:tc>
          <w:tcPr>
            <w:tcW w:w="1134"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氮氧化物</w:t>
            </w:r>
          </w:p>
        </w:tc>
        <w:tc>
          <w:tcPr>
            <w:tcW w:w="90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gridSpan w:val="2"/>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GB13271</w:t>
            </w:r>
          </w:p>
        </w:tc>
        <w:tc>
          <w:tcPr>
            <w:tcW w:w="1417"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0.8</w:t>
            </w:r>
          </w:p>
        </w:tc>
        <w:tc>
          <w:tcPr>
            <w:tcW w:w="1134"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c>
          <w:tcPr>
            <w:tcW w:w="90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vMerge w:val="restart"/>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地方标准</w:t>
            </w:r>
          </w:p>
        </w:tc>
        <w:tc>
          <w:tcPr>
            <w:tcW w:w="398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标准限值＞0.8倍GB13271特别排放限值</w:t>
            </w:r>
          </w:p>
        </w:tc>
        <w:tc>
          <w:tcPr>
            <w:tcW w:w="1417"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0.8</w:t>
            </w:r>
          </w:p>
        </w:tc>
        <w:tc>
          <w:tcPr>
            <w:tcW w:w="1134"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c>
          <w:tcPr>
            <w:tcW w:w="90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9" w:type="dxa"/>
            <w:vMerge w:val="continue"/>
            <w:tcBorders>
              <w:tl2br w:val="nil"/>
              <w:tr2bl w:val="nil"/>
            </w:tcBorders>
            <w:vAlign w:val="center"/>
          </w:tcPr>
          <w:p>
            <w:pPr>
              <w:jc w:val="left"/>
              <w:rPr>
                <w:rFonts w:hint="default" w:ascii="Times New Roman" w:hAnsi="Times New Roman" w:cs="Times New Roman"/>
                <w:szCs w:val="21"/>
              </w:rPr>
            </w:pPr>
          </w:p>
        </w:tc>
        <w:tc>
          <w:tcPr>
            <w:tcW w:w="398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标准限值≤0.8倍GB13271特别排放限值</w:t>
            </w:r>
          </w:p>
        </w:tc>
        <w:tc>
          <w:tcPr>
            <w:tcW w:w="1417"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c>
          <w:tcPr>
            <w:tcW w:w="1134"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c>
          <w:tcPr>
            <w:tcW w:w="901" w:type="dxa"/>
            <w:tcBorders>
              <w:tl2br w:val="nil"/>
              <w:tr2bl w:val="nil"/>
            </w:tcBorders>
            <w:vAlign w:val="center"/>
          </w:tcPr>
          <w:p>
            <w:pPr>
              <w:jc w:val="left"/>
              <w:rPr>
                <w:rFonts w:hint="default" w:ascii="Times New Roman" w:hAnsi="Times New Roman" w:cs="Times New Roman"/>
                <w:szCs w:val="21"/>
              </w:rPr>
            </w:pPr>
            <w:r>
              <w:rPr>
                <w:rFonts w:hint="default" w:ascii="Times New Roman" w:hAnsi="Times New Roman" w:cs="Times New Roman"/>
                <w:szCs w:val="21"/>
              </w:rPr>
              <w:t>1</w:t>
            </w:r>
          </w:p>
        </w:tc>
      </w:tr>
    </w:tbl>
    <w:p>
      <w:pPr>
        <w:spacing w:line="360" w:lineRule="auto"/>
        <w:ind w:firstLine="480" w:firstLineChars="20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固体/液体燃料锅炉的废气污染物（颗粒物、二氧化硫、氮氧化物）年许可排放量按下列公式计算：</w:t>
      </w:r>
    </w:p>
    <w:p>
      <w:pPr>
        <w:spacing w:line="360" w:lineRule="auto"/>
        <w:ind w:firstLine="364" w:firstLineChars="152"/>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drawing>
          <wp:inline distT="0" distB="0" distL="114300" distR="114300">
            <wp:extent cx="2705100" cy="304800"/>
            <wp:effectExtent l="0" t="0" r="0" b="0"/>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52" cstate="print"/>
                    <a:stretch>
                      <a:fillRect/>
                    </a:stretch>
                  </pic:blipFill>
                  <pic:spPr>
                    <a:xfrm>
                      <a:off x="0" y="0"/>
                      <a:ext cx="2705100" cy="304800"/>
                    </a:xfrm>
                    <a:prstGeom prst="rect">
                      <a:avLst/>
                    </a:prstGeom>
                    <a:noFill/>
                    <a:ln>
                      <a:noFill/>
                    </a:ln>
                  </pic:spPr>
                </pic:pic>
              </a:graphicData>
            </a:graphic>
          </wp:inline>
        </w:drawing>
      </w:r>
    </w:p>
    <w:p>
      <w:pPr>
        <w:spacing w:line="360" w:lineRule="auto"/>
        <w:ind w:firstLine="840" w:firstLineChars="35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式中E</w:t>
      </w:r>
      <w:r>
        <w:rPr>
          <w:rFonts w:hint="default" w:ascii="Times New Roman" w:hAnsi="Times New Roman" w:cs="Times New Roman"/>
          <w:b w:val="0"/>
          <w:bCs w:val="0"/>
          <w:sz w:val="24"/>
          <w:szCs w:val="24"/>
          <w:vertAlign w:val="subscript"/>
        </w:rPr>
        <w:t>年许可</w:t>
      </w:r>
      <w:r>
        <w:rPr>
          <w:rFonts w:hint="default" w:ascii="Times New Roman" w:hAnsi="Times New Roman" w:cs="Times New Roman"/>
          <w:b w:val="0"/>
          <w:bCs w:val="0"/>
          <w:sz w:val="24"/>
          <w:szCs w:val="24"/>
        </w:rPr>
        <w:t>—锅炉排污单位污染物年许可排放量，吨；</w:t>
      </w:r>
    </w:p>
    <w:p>
      <w:pPr>
        <w:spacing w:line="360" w:lineRule="auto"/>
        <w:ind w:firstLine="960" w:firstLineChars="4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C</w:t>
      </w:r>
      <w:r>
        <w:rPr>
          <w:rFonts w:hint="default" w:ascii="Times New Roman" w:hAnsi="Times New Roman" w:cs="Times New Roman"/>
          <w:b w:val="0"/>
          <w:bCs w:val="0"/>
          <w:sz w:val="24"/>
          <w:szCs w:val="24"/>
          <w:vertAlign w:val="subscript"/>
        </w:rPr>
        <w:t>i</w:t>
      </w:r>
      <w:r>
        <w:rPr>
          <w:rFonts w:hint="default" w:ascii="Times New Roman" w:hAnsi="Times New Roman" w:cs="Times New Roman"/>
          <w:b w:val="0"/>
          <w:bCs w:val="0"/>
          <w:sz w:val="24"/>
          <w:szCs w:val="24"/>
        </w:rPr>
        <w:t>—第i个主要排放口污染物排放标准浓度限值，毫克/立方米；</w:t>
      </w:r>
    </w:p>
    <w:p>
      <w:pPr>
        <w:spacing w:line="360" w:lineRule="auto"/>
        <w:ind w:firstLine="960" w:firstLineChars="4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V</w:t>
      </w:r>
      <w:r>
        <w:rPr>
          <w:rFonts w:hint="default" w:ascii="Times New Roman" w:hAnsi="Times New Roman" w:cs="Times New Roman"/>
          <w:b w:val="0"/>
          <w:bCs w:val="0"/>
          <w:sz w:val="24"/>
          <w:szCs w:val="24"/>
          <w:vertAlign w:val="subscript"/>
        </w:rPr>
        <w:t>i</w:t>
      </w:r>
      <w:r>
        <w:rPr>
          <w:rFonts w:hint="default" w:ascii="Times New Roman" w:hAnsi="Times New Roman" w:cs="Times New Roman"/>
          <w:b w:val="0"/>
          <w:bCs w:val="0"/>
          <w:sz w:val="24"/>
          <w:szCs w:val="24"/>
        </w:rPr>
        <w:t>—第i个主要排放口基准烟气量，标立方米/千克或标立方米/立方米；</w:t>
      </w:r>
    </w:p>
    <w:p>
      <w:pPr>
        <w:spacing w:line="360" w:lineRule="auto"/>
        <w:ind w:firstLine="960" w:firstLineChars="4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R</w:t>
      </w:r>
      <w:r>
        <w:rPr>
          <w:rFonts w:hint="default" w:ascii="Times New Roman" w:hAnsi="Times New Roman" w:cs="Times New Roman"/>
          <w:b w:val="0"/>
          <w:bCs w:val="0"/>
          <w:sz w:val="24"/>
          <w:szCs w:val="24"/>
          <w:vertAlign w:val="subscript"/>
        </w:rPr>
        <w:t>i</w:t>
      </w:r>
      <w:r>
        <w:rPr>
          <w:rFonts w:hint="default" w:ascii="Times New Roman" w:hAnsi="Times New Roman" w:cs="Times New Roman"/>
          <w:b w:val="0"/>
          <w:bCs w:val="0"/>
          <w:sz w:val="24"/>
          <w:szCs w:val="24"/>
        </w:rPr>
        <w:t>—第i个主要排放口所对应的锅炉前三年年平均燃料使用量（未投运或投运不满一年的锅炉按照设计年燃料使用量进行选取，投运满一年但未满三年的锅炉按运行周期平均燃料使用量选取，当前三年或周期年年平均燃料使用量超过设计燃料使用量时，按设计燃料使用量选取），吨或万立方米；</w:t>
      </w:r>
    </w:p>
    <w:p>
      <w:pPr>
        <w:spacing w:line="360" w:lineRule="auto"/>
        <w:rPr>
          <w:rFonts w:hint="default" w:ascii="Times New Roman" w:hAnsi="Times New Roman" w:cs="Times New Roman"/>
          <w:b w:val="0"/>
          <w:bCs w:val="0"/>
          <w:sz w:val="24"/>
          <w:szCs w:val="24"/>
        </w:rPr>
      </w:pPr>
      <m:oMath>
        <m:r>
          <m:rPr>
            <m:sty m:val="p"/>
          </m:rPr>
          <w:rPr>
            <w:rFonts w:hint="default" w:ascii="Cambria Math" w:hAnsi="Cambria Math" w:cs="Times New Roman"/>
            <w:sz w:val="24"/>
            <w:szCs w:val="24"/>
          </w:rPr>
          <m:t>δ</m:t>
        </m:r>
      </m:oMath>
      <w:r>
        <w:rPr>
          <w:rFonts w:hint="default" w:ascii="Times New Roman" w:hAnsi="Times New Roman" w:cs="Times New Roman"/>
          <w:b w:val="0"/>
          <w:bCs w:val="0"/>
          <w:sz w:val="24"/>
          <w:szCs w:val="24"/>
          <w:vertAlign w:val="subscript"/>
        </w:rPr>
        <w:t>i</w:t>
      </w:r>
      <w:r>
        <w:rPr>
          <w:rFonts w:hint="default" w:ascii="Times New Roman" w:hAnsi="Times New Roman" w:cs="Times New Roman"/>
          <w:b w:val="0"/>
          <w:bCs w:val="0"/>
          <w:sz w:val="24"/>
          <w:szCs w:val="24"/>
        </w:rPr>
        <w:t>—第i个主要排放口所对应的大气污染物许可排放量调整系数，按表2取值</w:t>
      </w:r>
    </w:p>
    <w:p>
      <w:pPr>
        <w:bidi w:val="0"/>
        <w:spacing w:line="360" w:lineRule="auto"/>
        <w:ind w:firstLine="480" w:firstLineChars="200"/>
        <w:rPr>
          <w:rFonts w:hint="default" w:ascii="Times New Roman" w:hAnsi="Times New Roman" w:cs="Times New Roman"/>
          <w:b w:val="0"/>
          <w:bCs w:val="0"/>
          <w:sz w:val="24"/>
          <w:szCs w:val="24"/>
        </w:rPr>
      </w:pPr>
      <w:bookmarkStart w:id="26" w:name="_Toc26567"/>
      <w:r>
        <w:rPr>
          <w:rFonts w:hint="default" w:ascii="Times New Roman" w:hAnsi="Times New Roman" w:cs="Times New Roman"/>
          <w:b w:val="0"/>
          <w:bCs w:val="0"/>
          <w:sz w:val="24"/>
          <w:szCs w:val="24"/>
        </w:rPr>
        <w:t>（1）C为废气污染物许可排放浓度限值</w:t>
      </w:r>
      <w:bookmarkEnd w:id="26"/>
    </w:p>
    <w:p>
      <w:pPr>
        <w:spacing w:line="360" w:lineRule="auto"/>
        <w:ind w:firstLine="480" w:firstLineChars="20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本项目锅炉执行《锅炉大气污染物排放标准》（GB13271-2014）</w:t>
      </w:r>
      <w:r>
        <w:rPr>
          <w:rFonts w:hint="default" w:ascii="Times New Roman" w:hAnsi="Times New Roman" w:eastAsia="宋体" w:cs="Times New Roman"/>
          <w:b w:val="0"/>
          <w:bCs w:val="0"/>
          <w:sz w:val="24"/>
          <w:szCs w:val="24"/>
          <w:lang w:eastAsia="zh-CN"/>
        </w:rPr>
        <w:t>表3大气污染物特别排放限值</w:t>
      </w:r>
      <w:r>
        <w:rPr>
          <w:rFonts w:hint="eastAsia" w:cs="Times New Roman"/>
          <w:b w:val="0"/>
          <w:bCs w:val="0"/>
          <w:sz w:val="24"/>
          <w:szCs w:val="24"/>
          <w:lang w:eastAsia="zh-CN"/>
        </w:rPr>
        <w:t>中燃煤锅炉标准</w:t>
      </w:r>
      <w:r>
        <w:rPr>
          <w:rFonts w:hint="default" w:ascii="Times New Roman" w:hAnsi="Times New Roman" w:eastAsia="宋体" w:cs="Times New Roman"/>
          <w:b w:val="0"/>
          <w:bCs w:val="0"/>
          <w:sz w:val="24"/>
          <w:szCs w:val="24"/>
        </w:rPr>
        <w:t>要</w:t>
      </w:r>
      <w:r>
        <w:rPr>
          <w:rFonts w:hint="default" w:ascii="Times New Roman" w:hAnsi="Times New Roman" w:cs="Times New Roman"/>
          <w:b w:val="0"/>
          <w:bCs w:val="0"/>
          <w:sz w:val="24"/>
          <w:szCs w:val="24"/>
        </w:rPr>
        <w:t>求，因此取值为颗粒物：</w:t>
      </w:r>
      <w:r>
        <w:rPr>
          <w:rFonts w:hint="default" w:ascii="Times New Roman" w:hAnsi="Times New Roman" w:cs="Times New Roman"/>
          <w:b w:val="0"/>
          <w:bCs w:val="0"/>
          <w:sz w:val="24"/>
          <w:szCs w:val="24"/>
          <w:lang w:val="en-US" w:eastAsia="zh-CN"/>
        </w:rPr>
        <w:t>30</w:t>
      </w:r>
      <w:r>
        <w:rPr>
          <w:rFonts w:hint="default" w:ascii="Times New Roman" w:hAnsi="Times New Roman" w:cs="Times New Roman"/>
          <w:b w:val="0"/>
          <w:bCs w:val="0"/>
          <w:sz w:val="24"/>
          <w:szCs w:val="24"/>
        </w:rPr>
        <w:t>mg/m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，SO</w:t>
      </w:r>
      <w:r>
        <w:rPr>
          <w:rFonts w:hint="default" w:ascii="Times New Roman" w:hAnsi="Times New Roman" w:cs="Times New Roman"/>
          <w:b w:val="0"/>
          <w:bCs w:val="0"/>
          <w:sz w:val="24"/>
          <w:szCs w:val="24"/>
          <w:vertAlign w:val="subscript"/>
        </w:rPr>
        <w:t>2</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00mg/m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，NO</w:t>
      </w:r>
      <w:r>
        <w:rPr>
          <w:rFonts w:hint="default" w:ascii="Times New Roman" w:hAnsi="Times New Roman" w:cs="Times New Roman"/>
          <w:b w:val="0"/>
          <w:bCs w:val="0"/>
          <w:sz w:val="24"/>
          <w:szCs w:val="24"/>
          <w:vertAlign w:val="subscript"/>
        </w:rPr>
        <w:t>X</w:t>
      </w:r>
      <w:r>
        <w:rPr>
          <w:rFonts w:hint="default" w:ascii="Times New Roman" w:hAnsi="Times New Roman" w:cs="Times New Roman"/>
          <w:b w:val="0"/>
          <w:bCs w:val="0"/>
          <w:sz w:val="24"/>
          <w:szCs w:val="24"/>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rPr>
        <w:t>00mg/m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w:t>
      </w:r>
    </w:p>
    <w:p>
      <w:pPr>
        <w:bidi w:val="0"/>
        <w:spacing w:line="360" w:lineRule="auto"/>
        <w:ind w:firstLine="480" w:firstLineChars="200"/>
        <w:rPr>
          <w:rFonts w:hint="default" w:ascii="Times New Roman" w:hAnsi="Times New Roman" w:cs="Times New Roman"/>
          <w:b w:val="0"/>
          <w:bCs w:val="0"/>
          <w:sz w:val="24"/>
          <w:szCs w:val="24"/>
        </w:rPr>
      </w:pPr>
      <w:bookmarkStart w:id="27" w:name="_Toc3118"/>
      <w:r>
        <w:rPr>
          <w:rFonts w:hint="default" w:ascii="Times New Roman" w:hAnsi="Times New Roman" w:cs="Times New Roman"/>
          <w:b w:val="0"/>
          <w:bCs w:val="0"/>
          <w:sz w:val="24"/>
          <w:szCs w:val="24"/>
        </w:rPr>
        <w:t>（2）V为基准烟气量</w:t>
      </w:r>
      <w:bookmarkEnd w:id="27"/>
    </w:p>
    <w:p>
      <w:pPr>
        <w:adjustRightInd w:val="0"/>
        <w:snapToGrid w:val="0"/>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根据《污染源源强核算技术指南 锅炉》（HJ 991-2018）附录C中对于项目生物质蒸汽锅炉的烟气量的计算，采用以下公式对项目生物蒸汽锅炉的烟气量进行核算。</w:t>
      </w:r>
    </w:p>
    <w:p>
      <w:pPr>
        <w:spacing w:line="360" w:lineRule="auto"/>
        <w:ind w:firstLine="480" w:firstLineChars="200"/>
        <w:rPr>
          <w:rFonts w:hint="default" w:ascii="Times New Roman" w:hAnsi="Times New Roman" w:cs="Times New Roman"/>
          <w:b w:val="0"/>
          <w:bCs w:val="0"/>
          <w:sz w:val="24"/>
          <w:szCs w:val="24"/>
          <w:lang w:val="zh-CN"/>
        </w:rPr>
      </w:pPr>
      <w:r>
        <w:rPr>
          <w:rFonts w:hint="default" w:ascii="Times New Roman" w:hAnsi="Times New Roman" w:cs="Times New Roman"/>
          <w:b w:val="0"/>
          <w:bCs w:val="0"/>
          <w:sz w:val="24"/>
          <w:szCs w:val="24"/>
          <w:lang w:val="zh-CN"/>
        </w:rPr>
        <w:t>①烟气排放量</w:t>
      </w:r>
    </w:p>
    <w:p>
      <w:pPr>
        <w:spacing w:line="360" w:lineRule="auto"/>
        <w:ind w:firstLine="480" w:firstLineChars="200"/>
        <w:rPr>
          <w:rFonts w:hint="default" w:ascii="Times New Roman" w:hAnsi="Times New Roman" w:cs="Times New Roman"/>
          <w:b w:val="0"/>
          <w:bCs w:val="0"/>
          <w:sz w:val="24"/>
          <w:szCs w:val="24"/>
          <w:lang w:val="zh-CN"/>
        </w:rPr>
      </w:pPr>
      <w:r>
        <w:rPr>
          <w:rFonts w:hint="default" w:ascii="Times New Roman" w:hAnsi="Times New Roman" w:cs="Times New Roman"/>
          <w:b w:val="0"/>
          <w:bCs w:val="0"/>
          <w:sz w:val="24"/>
          <w:szCs w:val="24"/>
          <w:lang w:val="zh-CN"/>
        </w:rPr>
        <w:t>理论烟气量计算：</w:t>
      </w:r>
    </w:p>
    <w:p>
      <w:pPr>
        <w:spacing w:line="360" w:lineRule="auto"/>
        <w:ind w:firstLine="480" w:firstLineChars="200"/>
        <w:jc w:val="center"/>
        <w:rPr>
          <w:rFonts w:hint="default" w:ascii="Times New Roman" w:hAnsi="Times New Roman" w:cs="Times New Roman"/>
          <w:b w:val="0"/>
          <w:bCs w:val="0"/>
          <w:sz w:val="24"/>
          <w:szCs w:val="24"/>
          <w:lang w:val="zh-CN"/>
        </w:rPr>
      </w:pPr>
      <w:r>
        <w:rPr>
          <w:rFonts w:hint="default" w:ascii="Times New Roman" w:hAnsi="Times New Roman" w:cs="Times New Roman"/>
          <w:b w:val="0"/>
          <w:bCs w:val="0"/>
          <w:position w:val="-12"/>
          <w:sz w:val="24"/>
          <w:szCs w:val="24"/>
          <w:lang w:val="zh-CN"/>
        </w:rPr>
        <w:object>
          <v:shape id="_x0000_i1043" o:spt="75" type="#_x0000_t75" style="height:18pt;width:247.95pt;" o:ole="t" filled="f" coordsize="21600,21600">
            <v:path/>
            <v:fill on="f" focussize="0,0"/>
            <v:stroke/>
            <v:imagedata r:id="rId54" o:title=""/>
            <o:lock v:ext="edit" aspectratio="t"/>
            <w10:wrap type="none"/>
            <w10:anchorlock/>
          </v:shape>
          <o:OLEObject Type="Embed" ProgID="Equation.KSEE3" ShapeID="_x0000_i1043" DrawAspect="Content" ObjectID="_1468075740" r:id="rId53">
            <o:LockedField>false</o:LockedField>
          </o:OLEObject>
        </w:object>
      </w:r>
    </w:p>
    <w:p>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highlight w:val="none"/>
        </w:rPr>
        <w:t>式中：</w:t>
      </w:r>
      <w:r>
        <w:rPr>
          <w:rFonts w:hint="default" w:ascii="Times New Roman" w:hAnsi="Times New Roman" w:eastAsia="宋体" w:cs="Times New Roman"/>
          <w:b w:val="0"/>
          <w:bCs w:val="0"/>
          <w:color w:val="auto"/>
          <w:sz w:val="24"/>
          <w:szCs w:val="24"/>
        </w:rPr>
        <w:t>V</w:t>
      </w:r>
      <w:r>
        <w:rPr>
          <w:rFonts w:hint="default" w:ascii="Times New Roman" w:hAnsi="Times New Roman" w:eastAsia="宋体" w:cs="Times New Roman"/>
          <w:b w:val="0"/>
          <w:bCs w:val="0"/>
          <w:color w:val="auto"/>
          <w:sz w:val="24"/>
          <w:szCs w:val="24"/>
          <w:vertAlign w:val="subscript"/>
        </w:rPr>
        <w:t>0</w:t>
      </w:r>
      <w:r>
        <w:rPr>
          <w:rFonts w:hint="default" w:ascii="Times New Roman" w:hAnsi="Times New Roman" w:eastAsia="宋体" w:cs="Times New Roman"/>
          <w:b w:val="0"/>
          <w:bCs w:val="0"/>
          <w:color w:val="auto"/>
          <w:sz w:val="24"/>
          <w:szCs w:val="24"/>
        </w:rPr>
        <w:t>——理论空气量，m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/kg；</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C</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——收到基碳的质量分数，</w:t>
      </w:r>
      <w:r>
        <w:rPr>
          <w:rFonts w:hint="default" w:ascii="Times New Roman" w:hAnsi="Times New Roman" w:cs="Times New Roman"/>
          <w:b w:val="0"/>
          <w:bCs w:val="0"/>
          <w:color w:val="auto"/>
          <w:sz w:val="24"/>
          <w:szCs w:val="24"/>
          <w:lang w:eastAsia="zh-CN"/>
        </w:rPr>
        <w:t>30.06%</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S</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——收到基硫的质量分数，</w:t>
      </w:r>
      <w:r>
        <w:rPr>
          <w:rFonts w:hint="default" w:ascii="Times New Roman" w:hAnsi="Times New Roman" w:cs="Times New Roman"/>
          <w:b w:val="0"/>
          <w:bCs w:val="0"/>
          <w:color w:val="auto"/>
          <w:sz w:val="24"/>
          <w:szCs w:val="24"/>
          <w:lang w:eastAsia="zh-CN"/>
        </w:rPr>
        <w:t>0.04%</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H</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——收到基氢的质量分数，</w:t>
      </w:r>
      <w:r>
        <w:rPr>
          <w:rFonts w:hint="default" w:ascii="Times New Roman" w:hAnsi="Times New Roman" w:cs="Times New Roman"/>
          <w:b w:val="0"/>
          <w:bCs w:val="0"/>
          <w:color w:val="auto"/>
          <w:sz w:val="24"/>
          <w:szCs w:val="24"/>
          <w:lang w:eastAsia="zh-CN"/>
        </w:rPr>
        <w:t>3.17%</w:t>
      </w:r>
      <w:r>
        <w:rPr>
          <w:rFonts w:hint="default" w:ascii="Times New Roman" w:hAnsi="Times New Roman" w:eastAsia="宋体" w:cs="Times New Roman"/>
          <w:b w:val="0"/>
          <w:bCs w:val="0"/>
          <w:color w:val="auto"/>
          <w:sz w:val="24"/>
          <w:szCs w:val="24"/>
        </w:rPr>
        <w:t>；</w:t>
      </w:r>
    </w:p>
    <w:p>
      <w:pPr>
        <w:keepNext w:val="0"/>
        <w:keepLines w:val="0"/>
        <w:pageBreakBefore w:val="0"/>
        <w:kinsoku/>
        <w:wordWrap/>
        <w:overflowPunct/>
        <w:topLinePunct w:val="0"/>
        <w:bidi w:val="0"/>
        <w:spacing w:line="360" w:lineRule="auto"/>
        <w:ind w:firstLine="1262" w:firstLineChars="526"/>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O</w:t>
      </w:r>
      <w:r>
        <w:rPr>
          <w:rFonts w:hint="default" w:ascii="Times New Roman" w:hAnsi="Times New Roman" w:eastAsia="宋体" w:cs="Times New Roman"/>
          <w:b w:val="0"/>
          <w:bCs w:val="0"/>
          <w:color w:val="auto"/>
          <w:sz w:val="24"/>
          <w:szCs w:val="24"/>
          <w:vertAlign w:val="subscript"/>
        </w:rPr>
        <w:t>ar</w:t>
      </w:r>
      <w:r>
        <w:rPr>
          <w:rFonts w:hint="default" w:ascii="Times New Roman" w:hAnsi="Times New Roman" w:eastAsia="宋体" w:cs="Times New Roman"/>
          <w:b w:val="0"/>
          <w:bCs w:val="0"/>
          <w:color w:val="auto"/>
          <w:sz w:val="24"/>
          <w:szCs w:val="24"/>
        </w:rPr>
        <w:t>——收到基氧的质量分数，</w:t>
      </w:r>
      <w:r>
        <w:rPr>
          <w:rFonts w:hint="default" w:ascii="Times New Roman" w:hAnsi="Times New Roman" w:cs="Times New Roman"/>
          <w:b w:val="0"/>
          <w:bCs w:val="0"/>
          <w:color w:val="auto"/>
          <w:sz w:val="24"/>
          <w:szCs w:val="24"/>
          <w:lang w:eastAsia="zh-CN"/>
        </w:rPr>
        <w:t>26.12%</w:t>
      </w:r>
      <w:r>
        <w:rPr>
          <w:rFonts w:hint="default" w:ascii="Times New Roman" w:hAnsi="Times New Roman" w:eastAsia="宋体" w:cs="Times New Roman"/>
          <w:b w:val="0"/>
          <w:bCs w:val="0"/>
          <w:color w:val="auto"/>
          <w:sz w:val="24"/>
          <w:szCs w:val="24"/>
        </w:rPr>
        <w:t>。</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eastAsia="宋体" w:cs="Times New Roman"/>
          <w:b w:val="0"/>
          <w:bCs w:val="0"/>
          <w:color w:val="auto"/>
          <w:sz w:val="24"/>
          <w:szCs w:val="24"/>
        </w:rPr>
        <w:t>经计算，本项目燃料产生的理论空气量为</w:t>
      </w:r>
      <w:r>
        <w:rPr>
          <w:rFonts w:hint="default" w:ascii="Times New Roman" w:hAnsi="Times New Roman" w:cs="Times New Roman"/>
          <w:b w:val="0"/>
          <w:bCs w:val="0"/>
          <w:color w:val="auto"/>
          <w:sz w:val="24"/>
          <w:szCs w:val="24"/>
          <w:lang w:val="en-US" w:eastAsia="zh-CN"/>
        </w:rPr>
        <w:t>2.643</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/kg</w:t>
      </w:r>
      <w:r>
        <w:rPr>
          <w:rFonts w:hint="default" w:ascii="Times New Roman" w:hAnsi="Times New Roman" w:cs="Times New Roman"/>
          <w:b w:val="0"/>
          <w:bCs w:val="0"/>
          <w:sz w:val="24"/>
          <w:szCs w:val="24"/>
        </w:rPr>
        <w:t>。</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烟气排放量计算：</w:t>
      </w:r>
    </w:p>
    <w:p>
      <w:pPr>
        <w:spacing w:line="360" w:lineRule="auto"/>
        <w:jc w:val="center"/>
        <w:rPr>
          <w:rFonts w:hint="default" w:ascii="Times New Roman" w:hAnsi="Times New Roman" w:cs="Times New Roman"/>
          <w:b w:val="0"/>
          <w:bCs w:val="0"/>
          <w:sz w:val="24"/>
          <w:szCs w:val="24"/>
          <w:lang w:bidi="zh-CN"/>
        </w:rPr>
      </w:pPr>
      <w:r>
        <w:rPr>
          <w:rFonts w:hint="default" w:ascii="Times New Roman" w:hAnsi="Times New Roman" w:cs="Times New Roman"/>
          <w:b w:val="0"/>
          <w:bCs w:val="0"/>
          <w:position w:val="-24"/>
          <w:sz w:val="24"/>
          <w:szCs w:val="24"/>
          <w:lang w:bidi="zh-CN"/>
        </w:rPr>
        <w:object>
          <v:shape id="_x0000_i1044" o:spt="75" type="#_x0000_t75" style="height:31pt;width:201pt;" o:ole="t" filled="f" coordsize="21600,21600">
            <v:path/>
            <v:fill on="f" focussize="0,0"/>
            <v:stroke/>
            <v:imagedata r:id="rId15" o:title=""/>
            <o:lock v:ext="edit" aspectratio="t"/>
            <w10:wrap type="none"/>
            <w10:anchorlock/>
          </v:shape>
          <o:OLEObject Type="Embed" ProgID="Equation.KSEE3" ShapeID="_x0000_i1044" DrawAspect="Content" ObjectID="_1468075741" r:id="rId55">
            <o:LockedField>false</o:LockedField>
          </o:OLEObject>
        </w:object>
      </w:r>
    </w:p>
    <w:p>
      <w:pPr>
        <w:spacing w:line="360" w:lineRule="auto"/>
        <w:jc w:val="center"/>
        <w:rPr>
          <w:rFonts w:hint="default" w:ascii="Times New Roman" w:hAnsi="Times New Roman" w:cs="Times New Roman"/>
          <w:b w:val="0"/>
          <w:bCs w:val="0"/>
          <w:sz w:val="24"/>
          <w:szCs w:val="24"/>
          <w:lang w:bidi="zh-CN"/>
        </w:rPr>
      </w:pPr>
      <w:r>
        <w:rPr>
          <w:rFonts w:hint="default" w:ascii="Times New Roman" w:hAnsi="Times New Roman" w:cs="Times New Roman"/>
          <w:b w:val="0"/>
          <w:bCs w:val="0"/>
          <w:position w:val="-24"/>
          <w:sz w:val="24"/>
          <w:szCs w:val="24"/>
          <w:lang w:bidi="zh-CN"/>
        </w:rPr>
        <w:object>
          <v:shape id="_x0000_i1045" o:spt="75" type="#_x0000_t75" style="height:31pt;width:117pt;" o:ole="t" filled="f" coordsize="21600,21600">
            <v:path/>
            <v:fill on="f" focussize="0,0"/>
            <v:stroke/>
            <v:imagedata r:id="rId17" o:title=""/>
            <o:lock v:ext="edit" aspectratio="t"/>
            <w10:wrap type="none"/>
            <w10:anchorlock/>
          </v:shape>
          <o:OLEObject Type="Embed" ProgID="Equation.KSEE3" ShapeID="_x0000_i1045" DrawAspect="Content" ObjectID="_1468075742" r:id="rId56">
            <o:LockedField>false</o:LockedField>
          </o:OLEObject>
        </w:object>
      </w:r>
    </w:p>
    <w:p>
      <w:pPr>
        <w:spacing w:line="360" w:lineRule="auto"/>
        <w:jc w:val="center"/>
        <w:rPr>
          <w:rFonts w:hint="default" w:ascii="Times New Roman" w:hAnsi="Times New Roman" w:cs="Times New Roman"/>
          <w:b w:val="0"/>
          <w:bCs w:val="0"/>
          <w:sz w:val="24"/>
          <w:szCs w:val="24"/>
        </w:rPr>
      </w:pPr>
      <w:r>
        <w:rPr>
          <w:rFonts w:hint="default" w:ascii="Times New Roman" w:hAnsi="Times New Roman" w:cs="Times New Roman"/>
          <w:b w:val="0"/>
          <w:bCs w:val="0"/>
          <w:position w:val="-14"/>
          <w:sz w:val="24"/>
          <w:szCs w:val="24"/>
          <w:lang w:bidi="zh-CN"/>
        </w:rPr>
        <w:object>
          <v:shape id="_x0000_i1046" o:spt="75" type="#_x0000_t75" style="height:19pt;width:124pt;" o:ole="t" filled="f" coordsize="21600,21600">
            <v:path/>
            <v:fill on="f" focussize="0,0"/>
            <v:stroke/>
            <v:imagedata r:id="rId19" o:title=""/>
            <o:lock v:ext="edit" aspectratio="t"/>
            <w10:wrap type="none"/>
            <w10:anchorlock/>
          </v:shape>
          <o:OLEObject Type="Embed" ProgID="Equation.KSEE3" ShapeID="_x0000_i1046" DrawAspect="Content" ObjectID="_1468075743" r:id="rId5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cs="Times New Roman"/>
          <w:b w:val="0"/>
          <w:bCs w:val="0"/>
          <w:sz w:val="24"/>
          <w:szCs w:val="24"/>
        </w:rPr>
        <w:t>式中：</w:t>
      </w: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RO2</w:t>
      </w:r>
      <w:r>
        <w:rPr>
          <w:rFonts w:hint="default" w:ascii="Times New Roman" w:hAnsi="Times New Roman" w:eastAsia="宋体" w:cs="Times New Roman"/>
          <w:b w:val="0"/>
          <w:bCs w:val="0"/>
          <w:color w:val="auto"/>
          <w:sz w:val="24"/>
          <w:szCs w:val="24"/>
          <w:highlight w:val="none"/>
        </w:rPr>
        <w:t>—烟气中二氧化碳（V</w:t>
      </w:r>
      <w:r>
        <w:rPr>
          <w:rFonts w:hint="default" w:ascii="Times New Roman" w:hAnsi="Times New Roman" w:eastAsia="宋体" w:cs="Times New Roman"/>
          <w:b w:val="0"/>
          <w:bCs w:val="0"/>
          <w:color w:val="auto"/>
          <w:sz w:val="24"/>
          <w:szCs w:val="24"/>
          <w:highlight w:val="none"/>
          <w:vertAlign w:val="subscript"/>
        </w:rPr>
        <w:t>CO2</w:t>
      </w:r>
      <w:r>
        <w:rPr>
          <w:rFonts w:hint="default" w:ascii="Times New Roman" w:hAnsi="Times New Roman" w:eastAsia="宋体" w:cs="Times New Roman"/>
          <w:b w:val="0"/>
          <w:bCs w:val="0"/>
          <w:color w:val="auto"/>
          <w:sz w:val="24"/>
          <w:szCs w:val="24"/>
          <w:highlight w:val="none"/>
        </w:rPr>
        <w:t>）和二氧化硫（V</w:t>
      </w:r>
      <w:r>
        <w:rPr>
          <w:rFonts w:hint="default" w:ascii="Times New Roman" w:hAnsi="Times New Roman" w:eastAsia="宋体" w:cs="Times New Roman"/>
          <w:b w:val="0"/>
          <w:bCs w:val="0"/>
          <w:color w:val="auto"/>
          <w:sz w:val="24"/>
          <w:szCs w:val="24"/>
          <w:highlight w:val="none"/>
          <w:vertAlign w:val="subscript"/>
        </w:rPr>
        <w:t>SO2</w:t>
      </w:r>
      <w:r>
        <w:rPr>
          <w:rFonts w:hint="default" w:ascii="Times New Roman" w:hAnsi="Times New Roman" w:eastAsia="宋体" w:cs="Times New Roman"/>
          <w:b w:val="0"/>
          <w:bCs w:val="0"/>
          <w:color w:val="auto"/>
          <w:sz w:val="24"/>
          <w:szCs w:val="24"/>
          <w:highlight w:val="none"/>
        </w:rPr>
        <w:t>）容积之和，m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C</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—收到基碳的质量分数，%</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—收到基硫的质量分数，%</w:t>
      </w:r>
      <w:r>
        <w:rPr>
          <w:rFonts w:hint="default" w:ascii="Times New Roman" w:hAnsi="Times New Roman" w:eastAsia="宋体" w:cs="Times New Roman"/>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N2</w:t>
      </w:r>
      <w:r>
        <w:rPr>
          <w:rFonts w:hint="default" w:ascii="Times New Roman" w:hAnsi="Times New Roman" w:eastAsia="宋体" w:cs="Times New Roman"/>
          <w:b w:val="0"/>
          <w:bCs w:val="0"/>
          <w:color w:val="auto"/>
          <w:sz w:val="24"/>
          <w:szCs w:val="24"/>
          <w:highlight w:val="none"/>
        </w:rPr>
        <w:t>—烟气中氮气量，m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N</w:t>
      </w:r>
      <w:r>
        <w:rPr>
          <w:rFonts w:hint="default" w:ascii="Times New Roman" w:hAnsi="Times New Roman" w:eastAsia="宋体" w:cs="Times New Roman"/>
          <w:b w:val="0"/>
          <w:bCs w:val="0"/>
          <w:color w:val="auto"/>
          <w:sz w:val="24"/>
          <w:szCs w:val="24"/>
          <w:highlight w:val="none"/>
          <w:vertAlign w:val="subscript"/>
        </w:rPr>
        <w:t>ar</w:t>
      </w:r>
      <w:r>
        <w:rPr>
          <w:rFonts w:hint="default" w:ascii="Times New Roman" w:hAnsi="Times New Roman" w:eastAsia="宋体" w:cs="Times New Roman"/>
          <w:b w:val="0"/>
          <w:bCs w:val="0"/>
          <w:color w:val="auto"/>
          <w:sz w:val="24"/>
          <w:szCs w:val="24"/>
          <w:highlight w:val="none"/>
        </w:rPr>
        <w:t>—收到基氮的质量分数，%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本次评价取</w:t>
      </w:r>
      <w:r>
        <w:rPr>
          <w:rFonts w:hint="default" w:ascii="Times New Roman" w:hAnsi="Times New Roman" w:eastAsia="宋体"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32</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0</w:t>
      </w:r>
      <w:r>
        <w:rPr>
          <w:rFonts w:hint="default" w:ascii="Times New Roman" w:hAnsi="Times New Roman" w:eastAsia="宋体" w:cs="Times New Roman"/>
          <w:b w:val="0"/>
          <w:bCs w:val="0"/>
          <w:color w:val="auto"/>
          <w:sz w:val="24"/>
          <w:szCs w:val="24"/>
          <w:highlight w:val="none"/>
        </w:rPr>
        <w:t>—理论空气量，m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V</w:t>
      </w:r>
      <w:r>
        <w:rPr>
          <w:rFonts w:hint="default" w:ascii="Times New Roman" w:hAnsi="Times New Roman" w:eastAsia="宋体" w:cs="Times New Roman"/>
          <w:b w:val="0"/>
          <w:bCs w:val="0"/>
          <w:color w:val="auto"/>
          <w:sz w:val="24"/>
          <w:szCs w:val="24"/>
          <w:highlight w:val="none"/>
          <w:vertAlign w:val="subscript"/>
        </w:rPr>
        <w:t>g</w:t>
      </w:r>
      <w:r>
        <w:rPr>
          <w:rFonts w:hint="default" w:ascii="Times New Roman" w:hAnsi="Times New Roman" w:eastAsia="宋体" w:cs="Times New Roman"/>
          <w:b w:val="0"/>
          <w:bCs w:val="0"/>
          <w:color w:val="auto"/>
          <w:sz w:val="24"/>
          <w:szCs w:val="24"/>
          <w:highlight w:val="none"/>
        </w:rPr>
        <w:t>—干烟气排放量，m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/kg；</w:t>
      </w:r>
    </w:p>
    <w:p>
      <w:pPr>
        <w:spacing w:line="360" w:lineRule="auto"/>
        <w:ind w:firstLine="1200" w:firstLineChars="500"/>
        <w:rPr>
          <w:rFonts w:hint="default" w:ascii="Times New Roman" w:hAnsi="Times New Roman" w:cs="Times New Roman"/>
          <w:b w:val="0"/>
          <w:bCs w:val="0"/>
          <w:sz w:val="24"/>
          <w:szCs w:val="24"/>
        </w:rPr>
      </w:pPr>
      <w:r>
        <w:rPr>
          <w:rFonts w:hint="default" w:ascii="Times New Roman" w:hAnsi="Times New Roman" w:eastAsia="宋体" w:cs="Times New Roman"/>
          <w:b w:val="0"/>
          <w:bCs w:val="0"/>
          <w:i/>
          <w:color w:val="auto"/>
          <w:sz w:val="24"/>
          <w:szCs w:val="24"/>
          <w:highlight w:val="none"/>
        </w:rPr>
        <w:t>α</w:t>
      </w:r>
      <w:r>
        <w:rPr>
          <w:rFonts w:hint="default" w:ascii="Times New Roman" w:hAnsi="Times New Roman" w:eastAsia="宋体" w:cs="Times New Roman"/>
          <w:b w:val="0"/>
          <w:bCs w:val="0"/>
          <w:color w:val="auto"/>
          <w:sz w:val="24"/>
          <w:szCs w:val="24"/>
          <w:highlight w:val="none"/>
        </w:rPr>
        <w:t>—过量空气系数</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1.75</w:t>
      </w:r>
      <w:r>
        <w:rPr>
          <w:rFonts w:hint="default" w:ascii="Times New Roman" w:hAnsi="Times New Roman" w:cs="Times New Roman"/>
          <w:b w:val="0"/>
          <w:bCs w:val="0"/>
          <w:sz w:val="24"/>
          <w:szCs w:val="24"/>
        </w:rPr>
        <w:t>；</w:t>
      </w:r>
    </w:p>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计算得出核算时段内Vg为4.</w:t>
      </w:r>
      <w:r>
        <w:rPr>
          <w:rFonts w:hint="default" w:ascii="Times New Roman" w:hAnsi="Times New Roman" w:cs="Times New Roman"/>
          <w:b w:val="0"/>
          <w:bCs w:val="0"/>
          <w:sz w:val="24"/>
          <w:szCs w:val="24"/>
          <w:lang w:val="en-US" w:eastAsia="zh-CN"/>
        </w:rPr>
        <w:t>63</w:t>
      </w:r>
      <w:r>
        <w:rPr>
          <w:rFonts w:hint="default" w:ascii="Times New Roman" w:hAnsi="Times New Roman" w:cs="Times New Roman"/>
          <w:b w:val="0"/>
          <w:bCs w:val="0"/>
          <w:sz w:val="24"/>
          <w:szCs w:val="24"/>
        </w:rPr>
        <w:t>5m</w:t>
      </w:r>
      <w:r>
        <w:rPr>
          <w:rFonts w:hint="default" w:ascii="Times New Roman" w:hAnsi="Times New Roman" w:cs="Times New Roman"/>
          <w:b w:val="0"/>
          <w:bCs w:val="0"/>
          <w:sz w:val="24"/>
          <w:szCs w:val="24"/>
          <w:vertAlign w:val="superscript"/>
        </w:rPr>
        <w:t>3</w:t>
      </w:r>
      <w:r>
        <w:rPr>
          <w:rFonts w:hint="default" w:ascii="Times New Roman" w:hAnsi="Times New Roman" w:cs="Times New Roman"/>
          <w:b w:val="0"/>
          <w:bCs w:val="0"/>
          <w:sz w:val="24"/>
          <w:szCs w:val="24"/>
        </w:rPr>
        <w:t>/kg。</w:t>
      </w:r>
    </w:p>
    <w:p>
      <w:pPr>
        <w:spacing w:line="360" w:lineRule="auto"/>
        <w:ind w:firstLine="480" w:firstLineChars="20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（3）R为设计燃料用量</w:t>
      </w:r>
    </w:p>
    <w:p>
      <w:pPr>
        <w:pStyle w:val="10"/>
        <w:spacing w:after="0" w:line="360" w:lineRule="auto"/>
        <w:ind w:left="0" w:leftChars="0"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w:t>
      </w:r>
      <w:r>
        <w:rPr>
          <w:rFonts w:hint="default" w:ascii="Times New Roman" w:hAnsi="Times New Roman" w:eastAsia="宋体" w:cs="Times New Roman"/>
          <w:b w:val="0"/>
          <w:bCs/>
          <w:color w:val="auto"/>
          <w:sz w:val="24"/>
          <w:szCs w:val="24"/>
          <w:lang w:val="en-US" w:eastAsia="zh-CN"/>
        </w:rPr>
        <w:t>生产鲜食玉米的蒸汽由</w:t>
      </w:r>
      <w:r>
        <w:rPr>
          <w:rFonts w:hint="default" w:ascii="Times New Roman" w:hAnsi="Times New Roman" w:cs="Times New Roman"/>
          <w:color w:val="auto"/>
          <w:sz w:val="24"/>
          <w:szCs w:val="24"/>
          <w:highlight w:val="none"/>
        </w:rPr>
        <w:t>1台</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t/h燃生物质蒸汽锅炉</w:t>
      </w:r>
      <w:r>
        <w:rPr>
          <w:rFonts w:hint="eastAsia" w:cs="Times New Roman"/>
          <w:color w:val="auto"/>
          <w:sz w:val="24"/>
          <w:szCs w:val="24"/>
          <w:highlight w:val="none"/>
          <w:lang w:val="en-US" w:eastAsia="zh-CN"/>
        </w:rPr>
        <w:t>和</w:t>
      </w:r>
      <w:r>
        <w:rPr>
          <w:rFonts w:hint="default" w:ascii="Times New Roman" w:hAnsi="Times New Roman" w:cs="Times New Roman"/>
          <w:color w:val="auto"/>
          <w:sz w:val="24"/>
          <w:szCs w:val="24"/>
          <w:highlight w:val="none"/>
        </w:rPr>
        <w:t>1台</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t/h燃生物质蒸汽锅炉</w:t>
      </w:r>
      <w:r>
        <w:rPr>
          <w:rFonts w:hint="default" w:ascii="Times New Roman" w:hAnsi="Times New Roman" w:eastAsia="宋体" w:cs="Times New Roman"/>
          <w:b w:val="0"/>
          <w:bCs/>
          <w:color w:val="auto"/>
          <w:sz w:val="24"/>
          <w:szCs w:val="24"/>
          <w:lang w:val="en-US" w:eastAsia="zh-CN"/>
        </w:rPr>
        <w:t>提供</w:t>
      </w:r>
      <w:r>
        <w:rPr>
          <w:rFonts w:hint="default" w:ascii="Times New Roman" w:hAnsi="Times New Roman" w:cs="Times New Roman"/>
          <w:b w:val="0"/>
          <w:bCs w:val="0"/>
          <w:color w:val="auto"/>
          <w:sz w:val="24"/>
          <w:szCs w:val="24"/>
        </w:rPr>
        <w:t>。本项目燃烧生物质颗粒为</w:t>
      </w:r>
      <w:r>
        <w:rPr>
          <w:rFonts w:hint="eastAsia" w:cs="Times New Roman"/>
          <w:b w:val="0"/>
          <w:bCs w:val="0"/>
          <w:color w:val="auto"/>
          <w:sz w:val="24"/>
          <w:szCs w:val="24"/>
          <w:lang w:val="en-US" w:eastAsia="zh-CN"/>
        </w:rPr>
        <w:t>1665</w:t>
      </w:r>
      <w:r>
        <w:rPr>
          <w:rFonts w:hint="default" w:ascii="Times New Roman" w:hAnsi="Times New Roman" w:cs="Times New Roman"/>
          <w:b w:val="0"/>
          <w:bCs w:val="0"/>
          <w:color w:val="auto"/>
          <w:sz w:val="24"/>
          <w:szCs w:val="24"/>
        </w:rPr>
        <w:t>t/a。</w:t>
      </w:r>
    </w:p>
    <w:p>
      <w:pPr>
        <w:spacing w:line="360" w:lineRule="auto"/>
        <w:ind w:firstLine="480" w:firstLineChars="20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因此各污染物核定量计算过程如下：</w:t>
      </w:r>
    </w:p>
    <w:p>
      <w:pPr>
        <w:spacing w:line="360" w:lineRule="auto"/>
        <w:ind w:firstLine="480" w:firstLineChars="20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颗粒物=</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rPr>
        <w:t>0×4.</w:t>
      </w:r>
      <w:r>
        <w:rPr>
          <w:rFonts w:hint="default" w:ascii="Times New Roman" w:hAnsi="Times New Roman" w:cs="Times New Roman"/>
          <w:b w:val="0"/>
          <w:bCs w:val="0"/>
          <w:color w:val="auto"/>
          <w:sz w:val="24"/>
          <w:szCs w:val="24"/>
          <w:lang w:val="en-US" w:eastAsia="zh-CN"/>
        </w:rPr>
        <w:t>63</w:t>
      </w:r>
      <w:r>
        <w:rPr>
          <w:rFonts w:hint="default" w:ascii="Times New Roman" w:hAnsi="Times New Roman" w:cs="Times New Roman"/>
          <w:b w:val="0"/>
          <w:bCs w:val="0"/>
          <w:color w:val="auto"/>
          <w:sz w:val="24"/>
          <w:szCs w:val="24"/>
        </w:rPr>
        <w:t>5×</w:t>
      </w:r>
      <w:r>
        <w:rPr>
          <w:rFonts w:hint="eastAsia" w:cs="Times New Roman"/>
          <w:b w:val="0"/>
          <w:bCs w:val="0"/>
          <w:color w:val="auto"/>
          <w:sz w:val="24"/>
          <w:szCs w:val="24"/>
          <w:lang w:val="en-US" w:eastAsia="zh-CN"/>
        </w:rPr>
        <w:t>1665</w:t>
      </w:r>
      <w:r>
        <w:rPr>
          <w:rFonts w:hint="default" w:ascii="Times New Roman" w:hAnsi="Times New Roman" w:cs="Times New Roman"/>
          <w:b w:val="0"/>
          <w:bCs w:val="0"/>
          <w:color w:val="auto"/>
          <w:sz w:val="24"/>
          <w:szCs w:val="24"/>
        </w:rPr>
        <w:t>×1×10</w:t>
      </w:r>
      <w:r>
        <w:rPr>
          <w:rFonts w:hint="default" w:ascii="Times New Roman" w:hAnsi="Times New Roman" w:cs="Times New Roman"/>
          <w:b w:val="0"/>
          <w:bCs w:val="0"/>
          <w:color w:val="auto"/>
          <w:sz w:val="24"/>
          <w:szCs w:val="24"/>
          <w:vertAlign w:val="superscript"/>
        </w:rPr>
        <w:t>-6</w:t>
      </w:r>
      <w:r>
        <w:rPr>
          <w:rFonts w:hint="default" w:ascii="Times New Roman" w:hAnsi="Times New Roman" w:cs="Times New Roman"/>
          <w:b w:val="0"/>
          <w:bCs w:val="0"/>
          <w:color w:val="auto"/>
          <w:sz w:val="24"/>
          <w:szCs w:val="24"/>
        </w:rPr>
        <w:t>=0.</w:t>
      </w:r>
      <w:r>
        <w:rPr>
          <w:rFonts w:hint="eastAsia" w:cs="Times New Roman"/>
          <w:b w:val="0"/>
          <w:bCs w:val="0"/>
          <w:color w:val="auto"/>
          <w:sz w:val="24"/>
          <w:szCs w:val="24"/>
          <w:lang w:val="en-US" w:eastAsia="zh-CN"/>
        </w:rPr>
        <w:t>232</w:t>
      </w:r>
      <w:r>
        <w:rPr>
          <w:rFonts w:hint="default" w:ascii="Times New Roman" w:hAnsi="Times New Roman" w:cs="Times New Roman"/>
          <w:b w:val="0"/>
          <w:bCs w:val="0"/>
          <w:color w:val="auto"/>
          <w:sz w:val="24"/>
          <w:szCs w:val="24"/>
        </w:rPr>
        <w:t>t/a</w:t>
      </w:r>
    </w:p>
    <w:p>
      <w:pPr>
        <w:spacing w:line="360" w:lineRule="auto"/>
        <w:ind w:firstLine="480" w:firstLineChars="200"/>
        <w:jc w:val="left"/>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SO</w:t>
      </w:r>
      <w:r>
        <w:rPr>
          <w:rFonts w:hint="default" w:ascii="Times New Roman" w:hAnsi="Times New Roman" w:cs="Times New Roman"/>
          <w:b w:val="0"/>
          <w:bCs w:val="0"/>
          <w:color w:val="auto"/>
          <w:sz w:val="24"/>
          <w:szCs w:val="24"/>
          <w:vertAlign w:val="subscript"/>
        </w:rPr>
        <w:t>2</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rPr>
        <w:t>00×4.</w:t>
      </w:r>
      <w:r>
        <w:rPr>
          <w:rFonts w:hint="default" w:ascii="Times New Roman" w:hAnsi="Times New Roman" w:cs="Times New Roman"/>
          <w:b w:val="0"/>
          <w:bCs w:val="0"/>
          <w:color w:val="auto"/>
          <w:sz w:val="24"/>
          <w:szCs w:val="24"/>
          <w:lang w:val="en-US" w:eastAsia="zh-CN"/>
        </w:rPr>
        <w:t>63</w:t>
      </w:r>
      <w:r>
        <w:rPr>
          <w:rFonts w:hint="default" w:ascii="Times New Roman" w:hAnsi="Times New Roman" w:cs="Times New Roman"/>
          <w:b w:val="0"/>
          <w:bCs w:val="0"/>
          <w:color w:val="auto"/>
          <w:sz w:val="24"/>
          <w:szCs w:val="24"/>
        </w:rPr>
        <w:t>5×</w:t>
      </w:r>
      <w:r>
        <w:rPr>
          <w:rFonts w:hint="eastAsia" w:cs="Times New Roman"/>
          <w:b w:val="0"/>
          <w:bCs w:val="0"/>
          <w:color w:val="auto"/>
          <w:sz w:val="24"/>
          <w:szCs w:val="24"/>
          <w:lang w:val="en-US" w:eastAsia="zh-CN"/>
        </w:rPr>
        <w:t>1665</w:t>
      </w:r>
      <w:r>
        <w:rPr>
          <w:rFonts w:hint="default" w:ascii="Times New Roman" w:hAnsi="Times New Roman" w:cs="Times New Roman"/>
          <w:b w:val="0"/>
          <w:bCs w:val="0"/>
          <w:color w:val="auto"/>
          <w:sz w:val="24"/>
          <w:szCs w:val="24"/>
        </w:rPr>
        <w:t>×0.8×10</w:t>
      </w:r>
      <w:r>
        <w:rPr>
          <w:rFonts w:hint="default" w:ascii="Times New Roman" w:hAnsi="Times New Roman" w:cs="Times New Roman"/>
          <w:b w:val="0"/>
          <w:bCs w:val="0"/>
          <w:color w:val="auto"/>
          <w:sz w:val="24"/>
          <w:szCs w:val="24"/>
          <w:vertAlign w:val="superscript"/>
        </w:rPr>
        <w:t>-6</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val="en-US" w:eastAsia="zh-CN"/>
        </w:rPr>
        <w:t>1.23</w:t>
      </w:r>
      <w:r>
        <w:rPr>
          <w:rFonts w:hint="default" w:ascii="Times New Roman" w:hAnsi="Times New Roman" w:cs="Times New Roman"/>
          <w:b w:val="0"/>
          <w:bCs w:val="0"/>
          <w:color w:val="auto"/>
          <w:sz w:val="24"/>
          <w:szCs w:val="24"/>
        </w:rPr>
        <w:t>t/a</w:t>
      </w:r>
    </w:p>
    <w:p>
      <w:pPr>
        <w:pStyle w:val="37"/>
        <w:spacing w:line="360" w:lineRule="auto"/>
        <w:ind w:firstLine="480" w:firstLineChars="200"/>
        <w:jc w:val="left"/>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NO</w:t>
      </w:r>
      <w:r>
        <w:rPr>
          <w:rFonts w:hint="default" w:ascii="Times New Roman" w:hAnsi="Times New Roman" w:eastAsia="宋体" w:cs="Times New Roman"/>
          <w:b w:val="0"/>
          <w:bCs w:val="0"/>
          <w:color w:val="auto"/>
          <w:sz w:val="24"/>
          <w:szCs w:val="24"/>
          <w:vertAlign w:val="subscript"/>
        </w:rPr>
        <w:t>X</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00×</w:t>
      </w:r>
      <w:r>
        <w:rPr>
          <w:rFonts w:hint="default" w:ascii="Times New Roman" w:hAnsi="Times New Roman" w:cs="Times New Roman"/>
          <w:b w:val="0"/>
          <w:bCs w:val="0"/>
          <w:color w:val="auto"/>
          <w:sz w:val="24"/>
          <w:szCs w:val="24"/>
        </w:rPr>
        <w:t>4.</w:t>
      </w:r>
      <w:r>
        <w:rPr>
          <w:rFonts w:hint="default" w:ascii="Times New Roman" w:hAnsi="Times New Roman" w:cs="Times New Roman"/>
          <w:b w:val="0"/>
          <w:bCs w:val="0"/>
          <w:color w:val="auto"/>
          <w:sz w:val="24"/>
          <w:szCs w:val="24"/>
          <w:lang w:val="en-US" w:eastAsia="zh-CN"/>
        </w:rPr>
        <w:t>63</w:t>
      </w:r>
      <w:r>
        <w:rPr>
          <w:rFonts w:hint="default" w:ascii="Times New Roman" w:hAnsi="Times New Roman" w:cs="Times New Roman"/>
          <w:b w:val="0"/>
          <w:bCs w:val="0"/>
          <w:color w:val="auto"/>
          <w:sz w:val="24"/>
          <w:szCs w:val="24"/>
        </w:rPr>
        <w:t>5×</w:t>
      </w:r>
      <w:r>
        <w:rPr>
          <w:rFonts w:hint="eastAsia" w:ascii="Times New Roman" w:cs="Times New Roman"/>
          <w:b w:val="0"/>
          <w:bCs w:val="0"/>
          <w:color w:val="auto"/>
          <w:sz w:val="24"/>
          <w:szCs w:val="24"/>
          <w:lang w:val="en-US" w:eastAsia="zh-CN"/>
        </w:rPr>
        <w:t>1665</w:t>
      </w:r>
      <w:r>
        <w:rPr>
          <w:rFonts w:hint="default" w:ascii="Times New Roman" w:hAnsi="Times New Roman" w:eastAsia="宋体" w:cs="Times New Roman"/>
          <w:b w:val="0"/>
          <w:bCs w:val="0"/>
          <w:color w:val="auto"/>
          <w:sz w:val="24"/>
          <w:szCs w:val="24"/>
        </w:rPr>
        <w:t>×1×10</w:t>
      </w:r>
      <w:r>
        <w:rPr>
          <w:rFonts w:hint="default" w:ascii="Times New Roman" w:hAnsi="Times New Roman" w:eastAsia="宋体" w:cs="Times New Roman"/>
          <w:b w:val="0"/>
          <w:bCs w:val="0"/>
          <w:color w:val="auto"/>
          <w:sz w:val="24"/>
          <w:szCs w:val="24"/>
          <w:vertAlign w:val="superscript"/>
        </w:rPr>
        <w:t>-6</w:t>
      </w:r>
      <w:r>
        <w:rPr>
          <w:rFonts w:hint="default" w:ascii="Times New Roman" w:hAnsi="Times New Roman" w:eastAsia="宋体" w:cs="Times New Roman"/>
          <w:b w:val="0"/>
          <w:bCs w:val="0"/>
          <w:color w:val="auto"/>
          <w:sz w:val="24"/>
          <w:szCs w:val="24"/>
        </w:rPr>
        <w:t>=</w:t>
      </w:r>
      <w:r>
        <w:rPr>
          <w:rFonts w:hint="eastAsia" w:ascii="Times New Roman" w:cs="Times New Roman"/>
          <w:b w:val="0"/>
          <w:bCs w:val="0"/>
          <w:color w:val="auto"/>
          <w:sz w:val="24"/>
          <w:szCs w:val="24"/>
          <w:lang w:val="en-US" w:eastAsia="zh-CN"/>
        </w:rPr>
        <w:t>1.54</w:t>
      </w:r>
      <w:r>
        <w:rPr>
          <w:rFonts w:hint="default" w:ascii="Times New Roman" w:hAnsi="Times New Roman" w:eastAsia="宋体" w:cs="Times New Roman"/>
          <w:b w:val="0"/>
          <w:bCs w:val="0"/>
          <w:color w:val="auto"/>
          <w:sz w:val="24"/>
          <w:szCs w:val="24"/>
        </w:rPr>
        <w:t>t/a</w:t>
      </w:r>
    </w:p>
    <w:p>
      <w:pPr>
        <w:pStyle w:val="44"/>
        <w:spacing w:line="360" w:lineRule="auto"/>
        <w:ind w:left="425" w:firstLine="0" w:firstLineChars="0"/>
        <w:jc w:val="left"/>
        <w:rPr>
          <w:rFonts w:hint="default" w:ascii="Times New Roman" w:hAnsi="Times New Roman" w:cs="Times New Roman"/>
          <w:b w:val="0"/>
          <w:bCs w:val="0"/>
          <w:sz w:val="24"/>
          <w:szCs w:val="24"/>
        </w:rPr>
      </w:pPr>
    </w:p>
    <w:p>
      <w:pPr>
        <w:pStyle w:val="44"/>
        <w:spacing w:line="360" w:lineRule="auto"/>
        <w:ind w:left="425" w:firstLine="0" w:firstLineChars="0"/>
        <w:jc w:val="left"/>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2、废水污染物核定总量</w:t>
      </w:r>
    </w:p>
    <w:p>
      <w:pPr>
        <w:pStyle w:val="37"/>
        <w:spacing w:line="360" w:lineRule="auto"/>
        <w:ind w:firstLine="480" w:firstLineChars="200"/>
        <w:jc w:val="both"/>
        <w:rPr>
          <w:rFonts w:hint="default" w:ascii="Times New Roman" w:hAnsi="Times New Roman" w:cs="Times New Roman"/>
          <w:b w:val="0"/>
          <w:bCs w:val="0"/>
          <w:kern w:val="0"/>
          <w:sz w:val="24"/>
          <w:szCs w:val="24"/>
          <w:highlight w:val="none"/>
        </w:rPr>
      </w:pPr>
      <w:r>
        <w:rPr>
          <w:rFonts w:hint="default" w:ascii="Times New Roman" w:hAnsi="Times New Roman" w:eastAsia="宋体" w:cs="Times New Roman"/>
          <w:b w:val="0"/>
          <w:bCs w:val="0"/>
          <w:color w:val="auto"/>
          <w:sz w:val="24"/>
          <w:szCs w:val="24"/>
          <w:highlight w:val="none"/>
        </w:rPr>
        <w:t>本项目生活污水排入防渗旱厕，定期清掏，外运堆肥</w:t>
      </w:r>
      <w:r>
        <w:rPr>
          <w:rFonts w:hint="default" w:ascii="Times New Roman" w:hAnsi="Times New Roman" w:cs="Times New Roman"/>
          <w:b w:val="0"/>
          <w:bCs w:val="0"/>
          <w:kern w:val="0"/>
          <w:sz w:val="24"/>
          <w:szCs w:val="24"/>
          <w:highlight w:val="none"/>
        </w:rPr>
        <w:t>；</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cs="Times New Roman"/>
          <w:b w:val="0"/>
          <w:bCs w:val="0"/>
          <w:color w:val="auto"/>
          <w:sz w:val="24"/>
          <w:szCs w:val="24"/>
          <w:highlight w:val="none"/>
          <w:lang w:eastAsia="zh-CN"/>
        </w:rPr>
        <w:t>锅炉排污水及软化处理废水用于锅炉房、灰渣间、厂区洒水降尘，不外排；车间</w:t>
      </w:r>
      <w:r>
        <w:rPr>
          <w:rFonts w:hint="default" w:ascii="Times New Roman" w:hAnsi="Times New Roman" w:cs="Times New Roman"/>
          <w:b w:val="0"/>
          <w:bCs w:val="0"/>
          <w:color w:val="auto"/>
          <w:sz w:val="24"/>
          <w:szCs w:val="24"/>
          <w:highlight w:val="none"/>
        </w:rPr>
        <w:t>地面冲洗废水与清洗</w:t>
      </w:r>
      <w:r>
        <w:rPr>
          <w:rFonts w:hint="default" w:ascii="Times New Roman" w:hAnsi="Times New Roman" w:cs="Times New Roman"/>
          <w:b w:val="0"/>
          <w:bCs w:val="0"/>
          <w:color w:val="auto"/>
          <w:sz w:val="24"/>
          <w:szCs w:val="24"/>
          <w:highlight w:val="none"/>
          <w:lang w:eastAsia="zh-CN"/>
        </w:rPr>
        <w:t>废水排放</w:t>
      </w:r>
      <w:r>
        <w:rPr>
          <w:rFonts w:hint="default" w:ascii="Times New Roman" w:hAnsi="Times New Roman" w:cs="Times New Roman"/>
          <w:b w:val="0"/>
          <w:bCs w:val="0"/>
          <w:color w:val="auto"/>
          <w:sz w:val="24"/>
          <w:szCs w:val="24"/>
          <w:highlight w:val="none"/>
          <w:lang w:val="zh-CN"/>
        </w:rPr>
        <w:t>量为</w:t>
      </w:r>
      <w:r>
        <w:rPr>
          <w:rFonts w:hint="default" w:ascii="Times New Roman" w:hAnsi="Times New Roman" w:cs="Times New Roman"/>
          <w:b w:val="0"/>
          <w:bCs w:val="0"/>
          <w:color w:val="auto"/>
          <w:sz w:val="24"/>
          <w:szCs w:val="24"/>
          <w:highlight w:val="none"/>
          <w:lang w:val="en-US" w:eastAsia="zh-CN"/>
        </w:rPr>
        <w:t>2</w:t>
      </w:r>
      <w:r>
        <w:rPr>
          <w:rFonts w:hint="eastAsia" w:ascii="Times New Roman" w:cs="Times New Roman"/>
          <w:b w:val="0"/>
          <w:bCs w:val="0"/>
          <w:color w:val="auto"/>
          <w:sz w:val="24"/>
          <w:szCs w:val="24"/>
          <w:highlight w:val="none"/>
          <w:lang w:val="en-US" w:eastAsia="zh-CN"/>
        </w:rPr>
        <w:t>8</w:t>
      </w:r>
      <w:r>
        <w:rPr>
          <w:rFonts w:hint="default" w:ascii="Times New Roman" w:hAnsi="Times New Roman" w:cs="Times New Roman"/>
          <w:b w:val="0"/>
          <w:bCs w:val="0"/>
          <w:color w:val="auto"/>
          <w:sz w:val="24"/>
          <w:szCs w:val="24"/>
          <w:highlight w:val="none"/>
          <w:lang w:val="zh-CN"/>
        </w:rPr>
        <w:t>t/d，</w:t>
      </w:r>
      <w:r>
        <w:rPr>
          <w:rFonts w:hint="eastAsia" w:ascii="Times New Roman" w:cs="Times New Roman"/>
          <w:b w:val="0"/>
          <w:bCs w:val="0"/>
          <w:color w:val="auto"/>
          <w:sz w:val="24"/>
          <w:szCs w:val="24"/>
          <w:highlight w:val="none"/>
          <w:lang w:val="en-US" w:eastAsia="zh-CN"/>
        </w:rPr>
        <w:t>1680</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清洗</w:t>
      </w:r>
      <w:r>
        <w:rPr>
          <w:rFonts w:hint="default" w:ascii="Times New Roman" w:hAnsi="Times New Roman" w:cs="Times New Roman"/>
          <w:b w:val="0"/>
          <w:bCs w:val="0"/>
          <w:color w:val="auto"/>
          <w:sz w:val="24"/>
          <w:szCs w:val="24"/>
          <w:highlight w:val="none"/>
          <w:lang w:val="en-US" w:eastAsia="zh-CN"/>
        </w:rPr>
        <w:t>废</w:t>
      </w:r>
      <w:r>
        <w:rPr>
          <w:rFonts w:hint="default" w:ascii="Times New Roman" w:hAnsi="Times New Roman" w:eastAsia="宋体" w:cs="Times New Roman"/>
          <w:b w:val="0"/>
          <w:bCs w:val="0"/>
          <w:color w:val="auto"/>
          <w:sz w:val="24"/>
          <w:szCs w:val="24"/>
          <w:highlight w:val="none"/>
          <w:lang w:eastAsia="zh-CN"/>
        </w:rPr>
        <w:t>水</w:t>
      </w:r>
      <w:r>
        <w:rPr>
          <w:rFonts w:hint="default" w:ascii="Times New Roman" w:hAnsi="Times New Roman" w:eastAsia="宋体" w:cs="Times New Roman"/>
          <w:b w:val="0"/>
          <w:bCs w:val="0"/>
          <w:color w:val="auto"/>
          <w:sz w:val="24"/>
          <w:szCs w:val="24"/>
          <w:highlight w:val="none"/>
        </w:rPr>
        <w:t>、车间地面冲洗废水</w:t>
      </w:r>
      <w:r>
        <w:rPr>
          <w:rFonts w:hint="default" w:ascii="Times New Roman" w:hAnsi="Times New Roman" w:eastAsia="宋体" w:cs="Times New Roman"/>
          <w:b w:val="0"/>
          <w:bCs w:val="0"/>
          <w:color w:val="auto"/>
          <w:sz w:val="24"/>
          <w:szCs w:val="24"/>
          <w:highlight w:val="none"/>
          <w:lang w:val="en-US" w:eastAsia="zh-CN"/>
        </w:rPr>
        <w:t>污染物浓度较低</w:t>
      </w:r>
      <w:r>
        <w:rPr>
          <w:rFonts w:hint="default" w:ascii="Times New Roman" w:hAnsi="Times New Roman" w:cs="Times New Roman"/>
          <w:b w:val="0"/>
          <w:bCs w:val="0"/>
          <w:color w:val="auto"/>
          <w:sz w:val="24"/>
          <w:szCs w:val="24"/>
          <w:highlight w:val="none"/>
        </w:rPr>
        <w:t>，排入厂内</w:t>
      </w:r>
      <w:r>
        <w:rPr>
          <w:rFonts w:hint="default" w:ascii="Times New Roman" w:hAnsi="Times New Roman" w:cs="Times New Roman"/>
          <w:b w:val="0"/>
          <w:bCs w:val="0"/>
          <w:color w:val="auto"/>
          <w:sz w:val="24"/>
          <w:szCs w:val="24"/>
          <w:highlight w:val="none"/>
          <w:lang w:val="en-US" w:eastAsia="zh-CN"/>
        </w:rPr>
        <w:t>30</w:t>
      </w:r>
      <w:r>
        <w:rPr>
          <w:rFonts w:hint="default" w:ascii="Times New Roman" w:hAnsi="Times New Roman" w:cs="Times New Roman"/>
          <w:b w:val="0"/>
          <w:bCs w:val="0"/>
          <w:color w:val="auto"/>
          <w:sz w:val="24"/>
          <w:szCs w:val="24"/>
          <w:highlight w:val="none"/>
        </w:rPr>
        <w:t>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密闭储罐中储存，日产日清，每日由专用罐车拉运至</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cs="Times New Roman"/>
          <w:b w:val="0"/>
          <w:bCs w:val="0"/>
          <w:color w:val="auto"/>
          <w:sz w:val="24"/>
          <w:szCs w:val="24"/>
          <w:highlight w:val="none"/>
        </w:rPr>
        <w:t>处理，废水排放浓度满足《污水综合排放标准》（GB8978-1996）三级标准及</w:t>
      </w:r>
      <w:r>
        <w:rPr>
          <w:rFonts w:hint="eastAsia" w:ascii="Times New Roman" w:cs="Times New Roman"/>
          <w:b w:val="0"/>
          <w:bCs w:val="0"/>
          <w:color w:val="auto"/>
          <w:sz w:val="24"/>
          <w:szCs w:val="24"/>
          <w:highlight w:val="none"/>
          <w:lang w:eastAsia="zh-CN"/>
        </w:rPr>
        <w:t>五常市民泉污水处理有限公司</w:t>
      </w:r>
      <w:r>
        <w:rPr>
          <w:rFonts w:hint="default" w:ascii="Times New Roman" w:hAnsi="Times New Roman" w:cs="Times New Roman"/>
          <w:b w:val="0"/>
          <w:bCs w:val="0"/>
          <w:color w:val="auto"/>
          <w:sz w:val="24"/>
          <w:szCs w:val="24"/>
          <w:highlight w:val="none"/>
        </w:rPr>
        <w:t>进水水质标准</w:t>
      </w:r>
      <w:r>
        <w:rPr>
          <w:rFonts w:hint="default" w:ascii="Times New Roman" w:hAnsi="Times New Roman" w:cs="Times New Roman"/>
          <w:b w:val="0"/>
          <w:bCs w:val="0"/>
          <w:kern w:val="0"/>
          <w:sz w:val="24"/>
          <w:szCs w:val="24"/>
          <w:highlight w:val="none"/>
        </w:rPr>
        <w:t>。</w:t>
      </w:r>
    </w:p>
    <w:p>
      <w:pPr>
        <w:spacing w:line="360" w:lineRule="auto"/>
        <w:ind w:firstLine="480" w:firstLineChars="200"/>
        <w:jc w:val="left"/>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rPr>
        <w:t>COD核定排放量=</w:t>
      </w:r>
      <w:r>
        <w:rPr>
          <w:rFonts w:hint="eastAsia" w:cs="Times New Roman"/>
          <w:b w:val="0"/>
          <w:bCs w:val="0"/>
          <w:kern w:val="0"/>
          <w:sz w:val="24"/>
          <w:szCs w:val="24"/>
          <w:highlight w:val="none"/>
          <w:lang w:val="en-US" w:eastAsia="zh-CN"/>
        </w:rPr>
        <w:t>1680</w:t>
      </w:r>
      <w:r>
        <w:rPr>
          <w:rFonts w:hint="default" w:ascii="Times New Roman" w:hAnsi="Times New Roman" w:cs="Times New Roman"/>
          <w:b w:val="0"/>
          <w:bCs w:val="0"/>
          <w:sz w:val="24"/>
          <w:szCs w:val="24"/>
          <w:highlight w:val="none"/>
        </w:rPr>
        <w:t>t/a×</w:t>
      </w:r>
      <w:r>
        <w:rPr>
          <w:rFonts w:hint="eastAsia" w:cs="Times New Roman"/>
          <w:b w:val="0"/>
          <w:bCs w:val="0"/>
          <w:sz w:val="24"/>
          <w:szCs w:val="24"/>
          <w:highlight w:val="none"/>
          <w:lang w:val="en-US" w:eastAsia="zh-CN"/>
        </w:rPr>
        <w:t>35</w:t>
      </w:r>
      <w:r>
        <w:rPr>
          <w:rFonts w:hint="default" w:ascii="Times New Roman" w:hAnsi="Times New Roman" w:cs="Times New Roman"/>
          <w:b w:val="0"/>
          <w:bCs w:val="0"/>
          <w:sz w:val="24"/>
          <w:szCs w:val="24"/>
          <w:highlight w:val="none"/>
        </w:rPr>
        <w:t>0mg/L×10</w:t>
      </w:r>
      <w:r>
        <w:rPr>
          <w:rFonts w:hint="default" w:ascii="Times New Roman" w:hAnsi="Times New Roman" w:cs="Times New Roman"/>
          <w:b w:val="0"/>
          <w:bCs w:val="0"/>
          <w:sz w:val="24"/>
          <w:szCs w:val="24"/>
          <w:highlight w:val="none"/>
          <w:vertAlign w:val="superscript"/>
        </w:rPr>
        <w:t>-6</w:t>
      </w:r>
      <w:r>
        <w:rPr>
          <w:rFonts w:hint="default" w:ascii="Times New Roman" w:hAnsi="Times New Roman" w:cs="Times New Roman"/>
          <w:b w:val="0"/>
          <w:bCs w:val="0"/>
          <w:sz w:val="24"/>
          <w:szCs w:val="24"/>
          <w:highlight w:val="none"/>
        </w:rPr>
        <w:t>=0.</w:t>
      </w:r>
      <w:r>
        <w:rPr>
          <w:rFonts w:hint="eastAsia" w:cs="Times New Roman"/>
          <w:b w:val="0"/>
          <w:bCs w:val="0"/>
          <w:sz w:val="24"/>
          <w:szCs w:val="24"/>
          <w:highlight w:val="none"/>
          <w:lang w:val="en-US" w:eastAsia="zh-CN"/>
        </w:rPr>
        <w:t>588</w:t>
      </w:r>
      <w:r>
        <w:rPr>
          <w:rFonts w:hint="default" w:ascii="Times New Roman" w:hAnsi="Times New Roman" w:cs="Times New Roman"/>
          <w:b w:val="0"/>
          <w:bCs w:val="0"/>
          <w:sz w:val="24"/>
          <w:szCs w:val="24"/>
          <w:highlight w:val="none"/>
        </w:rPr>
        <w:t>t/a；</w:t>
      </w:r>
    </w:p>
    <w:p>
      <w:pPr>
        <w:spacing w:line="360" w:lineRule="auto"/>
        <w:ind w:firstLine="480" w:firstLineChars="200"/>
        <w:jc w:val="left"/>
        <w:rPr>
          <w:rFonts w:hint="default" w:ascii="Times New Roman" w:hAnsi="Times New Roman" w:cs="Times New Roman"/>
          <w:b/>
          <w:sz w:val="24"/>
          <w:highlight w:val="none"/>
        </w:rPr>
      </w:pPr>
      <w:r>
        <w:rPr>
          <w:rFonts w:hint="default" w:ascii="Times New Roman" w:hAnsi="Times New Roman" w:cs="Times New Roman"/>
          <w:b w:val="0"/>
          <w:bCs w:val="0"/>
          <w:sz w:val="24"/>
          <w:szCs w:val="24"/>
          <w:highlight w:val="none"/>
        </w:rPr>
        <w:t>氨氮核定排放量=</w:t>
      </w:r>
      <w:r>
        <w:rPr>
          <w:rFonts w:hint="eastAsia" w:cs="Times New Roman"/>
          <w:b w:val="0"/>
          <w:bCs w:val="0"/>
          <w:kern w:val="0"/>
          <w:sz w:val="24"/>
          <w:szCs w:val="24"/>
          <w:highlight w:val="none"/>
          <w:lang w:val="en-US" w:eastAsia="zh-CN"/>
        </w:rPr>
        <w:t>1680</w:t>
      </w:r>
      <w:r>
        <w:rPr>
          <w:rFonts w:hint="default" w:ascii="Times New Roman" w:hAnsi="Times New Roman" w:cs="Times New Roman"/>
          <w:b w:val="0"/>
          <w:bCs w:val="0"/>
          <w:sz w:val="24"/>
          <w:szCs w:val="24"/>
          <w:highlight w:val="none"/>
        </w:rPr>
        <w:t>t/a×</w:t>
      </w:r>
      <w:r>
        <w:rPr>
          <w:rFonts w:hint="eastAsia"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rPr>
        <w:t>5mg/L×10</w:t>
      </w:r>
      <w:r>
        <w:rPr>
          <w:rFonts w:hint="default" w:ascii="Times New Roman" w:hAnsi="Times New Roman" w:cs="Times New Roman"/>
          <w:b w:val="0"/>
          <w:bCs w:val="0"/>
          <w:sz w:val="24"/>
          <w:szCs w:val="24"/>
          <w:highlight w:val="none"/>
          <w:vertAlign w:val="superscript"/>
        </w:rPr>
        <w:t>-6</w:t>
      </w:r>
      <w:r>
        <w:rPr>
          <w:rFonts w:hint="default" w:ascii="Times New Roman" w:hAnsi="Times New Roman" w:cs="Times New Roman"/>
          <w:b w:val="0"/>
          <w:bCs w:val="0"/>
          <w:sz w:val="24"/>
          <w:szCs w:val="24"/>
          <w:highlight w:val="none"/>
        </w:rPr>
        <w:t>=0.0</w:t>
      </w:r>
      <w:r>
        <w:rPr>
          <w:rFonts w:hint="eastAsia" w:cs="Times New Roman"/>
          <w:b w:val="0"/>
          <w:bCs w:val="0"/>
          <w:sz w:val="24"/>
          <w:szCs w:val="24"/>
          <w:highlight w:val="none"/>
          <w:lang w:val="en-US" w:eastAsia="zh-CN"/>
        </w:rPr>
        <w:t>42</w:t>
      </w:r>
      <w:r>
        <w:rPr>
          <w:rFonts w:hint="default" w:ascii="Times New Roman" w:hAnsi="Times New Roman" w:cs="Times New Roman"/>
          <w:b w:val="0"/>
          <w:bCs w:val="0"/>
          <w:sz w:val="24"/>
          <w:szCs w:val="24"/>
          <w:highlight w:val="none"/>
        </w:rPr>
        <w:t>t/a。</w:t>
      </w:r>
    </w:p>
    <w:p>
      <w:pPr>
        <w:pStyle w:val="52"/>
        <w:spacing w:line="480" w:lineRule="exact"/>
        <w:ind w:firstLine="480"/>
        <w:jc w:val="left"/>
        <w:rPr>
          <w:rFonts w:hint="default" w:ascii="Times New Roman" w:hAnsi="Times New Roman" w:eastAsia="宋体" w:cs="Times New Roman"/>
          <w:b/>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附件2</w:t>
      </w:r>
      <w:bookmarkStart w:id="28" w:name="_Toc93327283"/>
      <w:r>
        <w:rPr>
          <w:rFonts w:hint="default" w:ascii="Times New Roman" w:hAnsi="Times New Roman" w:cs="Times New Roman"/>
          <w:b/>
          <w:bCs/>
          <w:color w:val="auto"/>
          <w:lang w:val="en-US" w:eastAsia="zh-CN"/>
        </w:rPr>
        <w:t>：生物质成型燃料分析报告</w:t>
      </w:r>
      <w:bookmarkEnd w:id="28"/>
    </w:p>
    <w:p>
      <w:pPr>
        <w:rPr>
          <w:rFonts w:hint="default" w:ascii="Times New Roman" w:hAnsi="Times New Roman" w:eastAsia="黑体" w:cs="Times New Roman"/>
          <w:snapToGrid w:val="0"/>
          <w:color w:val="auto"/>
          <w:sz w:val="32"/>
          <w:szCs w:val="32"/>
          <w:lang w:eastAsia="zh-CN"/>
        </w:rPr>
      </w:pPr>
      <w:r>
        <w:rPr>
          <w:rFonts w:hint="default" w:ascii="Times New Roman" w:hAnsi="Times New Roman" w:eastAsia="黑体" w:cs="Times New Roman"/>
          <w:snapToGrid w:val="0"/>
          <w:color w:val="auto"/>
          <w:sz w:val="32"/>
          <w:szCs w:val="32"/>
          <w:lang w:eastAsia="zh-CN"/>
        </w:rPr>
        <w:drawing>
          <wp:inline distT="0" distB="0" distL="114300" distR="114300">
            <wp:extent cx="5668010" cy="7599680"/>
            <wp:effectExtent l="0" t="0" r="1270" b="5080"/>
            <wp:docPr id="21" name="图片 21" descr="附件4  生物质检测报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4  生物质检测报告_页面_1"/>
                    <pic:cNvPicPr>
                      <a:picLocks noChangeAspect="1"/>
                    </pic:cNvPicPr>
                  </pic:nvPicPr>
                  <pic:blipFill>
                    <a:blip r:embed="rId58"/>
                    <a:srcRect l="16069" t="10881" r="15243" b="24002"/>
                    <a:stretch>
                      <a:fillRect/>
                    </a:stretch>
                  </pic:blipFill>
                  <pic:spPr>
                    <a:xfrm>
                      <a:off x="0" y="0"/>
                      <a:ext cx="5668010" cy="7599680"/>
                    </a:xfrm>
                    <a:prstGeom prst="rect">
                      <a:avLst/>
                    </a:prstGeom>
                  </pic:spPr>
                </pic:pic>
              </a:graphicData>
            </a:graphic>
          </wp:inline>
        </w:drawing>
      </w:r>
    </w:p>
    <w:p>
      <w:pPr>
        <w:rPr>
          <w:rFonts w:hint="default" w:ascii="Times New Roman" w:hAnsi="Times New Roman" w:eastAsia="黑体" w:cs="Times New Roman"/>
          <w:snapToGrid w:val="0"/>
          <w:color w:val="auto"/>
          <w:sz w:val="32"/>
          <w:szCs w:val="32"/>
          <w:lang w:eastAsia="zh-CN"/>
        </w:rPr>
      </w:pPr>
      <w:r>
        <w:rPr>
          <w:rFonts w:hint="default" w:ascii="Times New Roman" w:hAnsi="Times New Roman" w:eastAsia="黑体" w:cs="Times New Roman"/>
          <w:snapToGrid w:val="0"/>
          <w:color w:val="auto"/>
          <w:sz w:val="32"/>
          <w:szCs w:val="32"/>
          <w:lang w:eastAsia="zh-CN"/>
        </w:rPr>
        <w:drawing>
          <wp:inline distT="0" distB="0" distL="114300" distR="114300">
            <wp:extent cx="5674995" cy="7661910"/>
            <wp:effectExtent l="0" t="0" r="9525" b="3810"/>
            <wp:docPr id="20" name="图片 20" descr="附件4  生物质检测报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4  生物质检测报告_页面_2"/>
                    <pic:cNvPicPr>
                      <a:picLocks noChangeAspect="1"/>
                    </pic:cNvPicPr>
                  </pic:nvPicPr>
                  <pic:blipFill>
                    <a:blip r:embed="rId59"/>
                    <a:srcRect l="15390" t="8801" r="15390" b="25122"/>
                    <a:stretch>
                      <a:fillRect/>
                    </a:stretch>
                  </pic:blipFill>
                  <pic:spPr>
                    <a:xfrm>
                      <a:off x="0" y="0"/>
                      <a:ext cx="5674995" cy="7661910"/>
                    </a:xfrm>
                    <a:prstGeom prst="rect">
                      <a:avLst/>
                    </a:prstGeom>
                  </pic:spPr>
                </pic:pic>
              </a:graphicData>
            </a:graphic>
          </wp:inline>
        </w:drawing>
      </w:r>
    </w:p>
    <w:p>
      <w:pPr>
        <w:rPr>
          <w:rFonts w:hint="default" w:ascii="Times New Roman" w:hAnsi="Times New Roman" w:eastAsia="黑体" w:cs="Times New Roman"/>
          <w:snapToGrid w:val="0"/>
          <w:color w:val="auto"/>
          <w:sz w:val="32"/>
          <w:szCs w:val="32"/>
          <w:lang w:eastAsia="zh-CN"/>
        </w:rPr>
      </w:pPr>
      <w:r>
        <w:rPr>
          <w:rFonts w:hint="default" w:ascii="Times New Roman" w:hAnsi="Times New Roman" w:eastAsia="黑体" w:cs="Times New Roman"/>
          <w:snapToGrid w:val="0"/>
          <w:color w:val="auto"/>
          <w:sz w:val="32"/>
          <w:szCs w:val="32"/>
          <w:lang w:eastAsia="zh-CN"/>
        </w:rPr>
        <w:drawing>
          <wp:inline distT="0" distB="0" distL="114300" distR="114300">
            <wp:extent cx="5674995" cy="7726045"/>
            <wp:effectExtent l="0" t="0" r="9525" b="635"/>
            <wp:docPr id="19" name="图片 19" descr="附件4  生物质检测报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4  生物质检测报告_页面_3"/>
                    <pic:cNvPicPr>
                      <a:picLocks noChangeAspect="1"/>
                    </pic:cNvPicPr>
                  </pic:nvPicPr>
                  <pic:blipFill>
                    <a:blip r:embed="rId60"/>
                    <a:srcRect l="15164" t="9121" r="16521" b="25122"/>
                    <a:stretch>
                      <a:fillRect/>
                    </a:stretch>
                  </pic:blipFill>
                  <pic:spPr>
                    <a:xfrm>
                      <a:off x="0" y="0"/>
                      <a:ext cx="5674995" cy="7726045"/>
                    </a:xfrm>
                    <a:prstGeom prst="rect">
                      <a:avLst/>
                    </a:prstGeom>
                  </pic:spPr>
                </pic:pic>
              </a:graphicData>
            </a:graphic>
          </wp:inline>
        </w:drawing>
      </w:r>
    </w:p>
    <w:p>
      <w:pPr>
        <w:pStyle w:val="37"/>
        <w:rPr>
          <w:rFonts w:hint="default" w:ascii="Times New Roman" w:hAnsi="Times New Roman" w:eastAsia="黑体" w:cs="Times New Roman"/>
          <w:snapToGrid w:val="0"/>
          <w:color w:val="auto"/>
          <w:sz w:val="32"/>
          <w:szCs w:val="32"/>
        </w:rPr>
      </w:pPr>
    </w:p>
    <w:p>
      <w:pPr>
        <w:rPr>
          <w:rFonts w:hint="default" w:ascii="Times New Roman" w:hAnsi="Times New Roman" w:eastAsia="黑体" w:cs="Times New Roman"/>
          <w:snapToGrid w:val="0"/>
          <w:color w:val="auto"/>
          <w:sz w:val="32"/>
          <w:szCs w:val="32"/>
        </w:rPr>
      </w:pPr>
    </w:p>
    <w:p>
      <w:pPr>
        <w:shd w:val="clear"/>
        <w:jc w:val="left"/>
        <w:outlineLvl w:val="0"/>
        <w:rPr>
          <w:rFonts w:hint="default" w:ascii="Times New Roman" w:hAnsi="Times New Roman" w:eastAsia="宋体" w:cs="Times New Roman"/>
          <w:b/>
          <w:color w:val="auto"/>
          <w:sz w:val="24"/>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附件3：营业执照</w:t>
      </w:r>
    </w:p>
    <w:p>
      <w:pPr>
        <w:shd w:val="clear"/>
        <w:jc w:val="center"/>
        <w:rPr>
          <w:rFonts w:hint="default" w:ascii="Times New Roman" w:hAnsi="Times New Roman" w:eastAsia="宋体" w:cs="Times New Roman"/>
          <w:color w:val="auto"/>
          <w:lang w:eastAsia="zh-CN"/>
        </w:rPr>
      </w:pPr>
      <w:r>
        <w:drawing>
          <wp:inline distT="0" distB="0" distL="114300" distR="114300">
            <wp:extent cx="6969125" cy="4973320"/>
            <wp:effectExtent l="0" t="0" r="3175" b="1778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5"/>
                    <pic:cNvPicPr>
                      <a:picLocks noChangeAspect="1"/>
                    </pic:cNvPicPr>
                  </pic:nvPicPr>
                  <pic:blipFill>
                    <a:blip r:embed="rId61"/>
                    <a:stretch>
                      <a:fillRect/>
                    </a:stretch>
                  </pic:blipFill>
                  <pic:spPr>
                    <a:xfrm>
                      <a:off x="0" y="0"/>
                      <a:ext cx="6969125" cy="4973320"/>
                    </a:xfrm>
                    <a:prstGeom prst="rect">
                      <a:avLst/>
                    </a:prstGeom>
                    <a:noFill/>
                    <a:ln>
                      <a:noFill/>
                    </a:ln>
                  </pic:spPr>
                </pic:pic>
              </a:graphicData>
            </a:graphic>
          </wp:inline>
        </w:drawing>
      </w:r>
    </w:p>
    <w:p>
      <w:pPr>
        <w:pStyle w:val="39"/>
        <w:rPr>
          <w:rFonts w:hint="default" w:ascii="Times New Roman" w:hAnsi="Times New Roman" w:cs="Times New Roman"/>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360" w:lineRule="auto"/>
        <w:jc w:val="left"/>
        <w:outlineLvl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附件4：检测报告</w:t>
      </w:r>
    </w:p>
    <w:p>
      <w:pPr>
        <w:pStyle w:val="37"/>
        <w:jc w:val="both"/>
      </w:pPr>
      <w:r>
        <w:drawing>
          <wp:inline distT="0" distB="0" distL="114300" distR="114300">
            <wp:extent cx="5570220" cy="7946390"/>
            <wp:effectExtent l="0" t="0" r="0"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62"/>
                    <a:srcRect r="949"/>
                    <a:stretch>
                      <a:fillRect/>
                    </a:stretch>
                  </pic:blipFill>
                  <pic:spPr>
                    <a:xfrm>
                      <a:off x="0" y="0"/>
                      <a:ext cx="5570220" cy="7946390"/>
                    </a:xfrm>
                    <a:prstGeom prst="rect">
                      <a:avLst/>
                    </a:prstGeom>
                    <a:noFill/>
                    <a:ln>
                      <a:noFill/>
                    </a:ln>
                  </pic:spPr>
                </pic:pic>
              </a:graphicData>
            </a:graphic>
          </wp:inline>
        </w:drawing>
      </w:r>
    </w:p>
    <w:p>
      <w:pPr>
        <w:pStyle w:val="37"/>
        <w:jc w:val="both"/>
        <w:rPr>
          <w:rFonts w:hint="default" w:ascii="Times New Roman" w:hAnsi="Times New Roman" w:eastAsia="黑体" w:cs="Times New Roman"/>
          <w:color w:val="auto"/>
          <w:lang w:val="en-US" w:eastAsia="zh-CN"/>
        </w:rPr>
      </w:pPr>
      <w:r>
        <w:drawing>
          <wp:inline distT="0" distB="0" distL="114300" distR="114300">
            <wp:extent cx="5614670" cy="7615555"/>
            <wp:effectExtent l="0" t="0" r="5080" b="444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63"/>
                    <a:srcRect r="1199"/>
                    <a:stretch>
                      <a:fillRect/>
                    </a:stretch>
                  </pic:blipFill>
                  <pic:spPr>
                    <a:xfrm>
                      <a:off x="0" y="0"/>
                      <a:ext cx="5614670" cy="7615555"/>
                    </a:xfrm>
                    <a:prstGeom prst="rect">
                      <a:avLst/>
                    </a:prstGeom>
                    <a:noFill/>
                    <a:ln>
                      <a:noFill/>
                    </a:ln>
                  </pic:spPr>
                </pic:pic>
              </a:graphicData>
            </a:graphic>
          </wp:inline>
        </w:drawing>
      </w:r>
      <w:r>
        <w:drawing>
          <wp:inline distT="0" distB="0" distL="114300" distR="114300">
            <wp:extent cx="5559425" cy="7731125"/>
            <wp:effectExtent l="0" t="0" r="3175" b="3175"/>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pic:cNvPicPr>
                  </pic:nvPicPr>
                  <pic:blipFill>
                    <a:blip r:embed="rId64"/>
                    <a:stretch>
                      <a:fillRect/>
                    </a:stretch>
                  </pic:blipFill>
                  <pic:spPr>
                    <a:xfrm>
                      <a:off x="0" y="0"/>
                      <a:ext cx="5559425" cy="7731125"/>
                    </a:xfrm>
                    <a:prstGeom prst="rect">
                      <a:avLst/>
                    </a:prstGeom>
                    <a:noFill/>
                    <a:ln>
                      <a:noFill/>
                    </a:ln>
                  </pic:spPr>
                </pic:pic>
              </a:graphicData>
            </a:graphic>
          </wp:inline>
        </w:drawing>
      </w:r>
      <w:r>
        <w:drawing>
          <wp:inline distT="0" distB="0" distL="114300" distR="114300">
            <wp:extent cx="5536565" cy="7894320"/>
            <wp:effectExtent l="0" t="0" r="6985" b="11430"/>
            <wp:docPr id="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pic:cNvPicPr>
                      <a:picLocks noChangeAspect="1"/>
                    </pic:cNvPicPr>
                  </pic:nvPicPr>
                  <pic:blipFill>
                    <a:blip r:embed="rId65"/>
                    <a:stretch>
                      <a:fillRect/>
                    </a:stretch>
                  </pic:blipFill>
                  <pic:spPr>
                    <a:xfrm>
                      <a:off x="0" y="0"/>
                      <a:ext cx="5536565" cy="7894320"/>
                    </a:xfrm>
                    <a:prstGeom prst="rect">
                      <a:avLst/>
                    </a:prstGeom>
                    <a:noFill/>
                    <a:ln>
                      <a:noFill/>
                    </a:ln>
                  </pic:spPr>
                </pic:pic>
              </a:graphicData>
            </a:graphic>
          </wp:inline>
        </w:drawing>
      </w:r>
      <w:r>
        <w:drawing>
          <wp:inline distT="0" distB="0" distL="114300" distR="114300">
            <wp:extent cx="5594985" cy="7919720"/>
            <wp:effectExtent l="0" t="0" r="5715" b="508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66"/>
                    <a:stretch>
                      <a:fillRect/>
                    </a:stretch>
                  </pic:blipFill>
                  <pic:spPr>
                    <a:xfrm>
                      <a:off x="0" y="0"/>
                      <a:ext cx="5594985" cy="7919720"/>
                    </a:xfrm>
                    <a:prstGeom prst="rect">
                      <a:avLst/>
                    </a:prstGeom>
                    <a:noFill/>
                    <a:ln>
                      <a:noFill/>
                    </a:ln>
                  </pic:spPr>
                </pic:pic>
              </a:graphicData>
            </a:graphic>
          </wp:inline>
        </w:drawing>
      </w:r>
    </w:p>
    <w:p>
      <w:pPr>
        <w:rPr>
          <w:rFonts w:hint="default" w:ascii="Times New Roman" w:hAnsi="Times New Roman" w:cs="Times New Roman"/>
          <w:lang w:val="en-US" w:eastAsia="zh-CN"/>
        </w:rPr>
      </w:pP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new times roma">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FangSong_GB2312">
    <w:altName w:val="仿宋"/>
    <w:panose1 w:val="02010609060101010101"/>
    <w:charset w:val="00"/>
    <w:family w:val="roman"/>
    <w:pitch w:val="default"/>
    <w:sig w:usb0="00000000" w:usb1="00000000" w:usb2="00000000" w:usb3="00000000" w:csb0="00000000" w:csb1="00000000"/>
  </w:font>
  <w:font w:name="方正小标宋_GBK">
    <w:altName w:val="Arial Unicode MS"/>
    <w:panose1 w:val="02000000000000000000"/>
    <w:charset w:val="86"/>
    <w:family w:val="auto"/>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181861"/>
    </w:sdtPr>
    <w:sdtContent>
      <w:p>
        <w:pPr>
          <w:pStyle w:val="20"/>
          <w:jc w:val="center"/>
        </w:pPr>
        <w:r>
          <w:fldChar w:fldCharType="begin"/>
        </w:r>
        <w:r>
          <w:instrText xml:space="preserve"> PAGE   \* MERGEFORMAT </w:instrText>
        </w:r>
        <w:r>
          <w:fldChar w:fldCharType="separate"/>
        </w:r>
        <w:r>
          <w:rPr>
            <w:lang w:val="zh-CN"/>
          </w:rPr>
          <w:t>34</w:t>
        </w:r>
        <w:r>
          <w:rPr>
            <w:lang w:val="zh-CN"/>
          </w:rPr>
          <w:fldChar w:fldCharType="end"/>
        </w:r>
      </w:p>
    </w:sdtContent>
  </w:sdt>
  <w:p>
    <w:pPr>
      <w:pStyle w:val="2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9375B"/>
    <w:multiLevelType w:val="singleLevel"/>
    <w:tmpl w:val="8A99375B"/>
    <w:lvl w:ilvl="0" w:tentative="0">
      <w:start w:val="1"/>
      <w:numFmt w:val="decimal"/>
      <w:pStyle w:val="56"/>
      <w:suff w:val="nothing"/>
      <w:lvlText w:val="表%1 "/>
      <w:lvlJc w:val="left"/>
      <w:pPr>
        <w:tabs>
          <w:tab w:val="left" w:pos="0"/>
        </w:tabs>
        <w:ind w:left="1680" w:firstLine="0"/>
      </w:pPr>
      <w:rPr>
        <w:rFonts w:hint="default" w:ascii="宋体" w:hAnsi="宋体" w:eastAsia="宋体" w:cs="宋体"/>
      </w:rPr>
    </w:lvl>
  </w:abstractNum>
  <w:abstractNum w:abstractNumId="1">
    <w:nsid w:val="8FA1DEBB"/>
    <w:multiLevelType w:val="singleLevel"/>
    <w:tmpl w:val="8FA1DEBB"/>
    <w:lvl w:ilvl="0" w:tentative="0">
      <w:start w:val="2"/>
      <w:numFmt w:val="decimal"/>
      <w:suff w:val="nothing"/>
      <w:lvlText w:val="（%1）"/>
      <w:lvlJc w:val="left"/>
    </w:lvl>
  </w:abstractNum>
  <w:abstractNum w:abstractNumId="2">
    <w:nsid w:val="8FE05EA8"/>
    <w:multiLevelType w:val="singleLevel"/>
    <w:tmpl w:val="8FE05EA8"/>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3">
    <w:nsid w:val="B6990DA9"/>
    <w:multiLevelType w:val="singleLevel"/>
    <w:tmpl w:val="B6990DA9"/>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D938F14A"/>
    <w:multiLevelType w:val="singleLevel"/>
    <w:tmpl w:val="D938F14A"/>
    <w:lvl w:ilvl="0" w:tentative="0">
      <w:start w:val="1"/>
      <w:numFmt w:val="decimal"/>
      <w:suff w:val="nothing"/>
      <w:lvlText w:val="%1、"/>
      <w:lvlJc w:val="left"/>
    </w:lvl>
  </w:abstractNum>
  <w:abstractNum w:abstractNumId="5">
    <w:nsid w:val="6B321051"/>
    <w:multiLevelType w:val="singleLevel"/>
    <w:tmpl w:val="6B321051"/>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yMDUwY2Y1YmYzMzE5YzdkOTc5YWRhMDU0ZDk2NWEifQ=="/>
  </w:docVars>
  <w:rsids>
    <w:rsidRoot w:val="2C1A2D7E"/>
    <w:rsid w:val="011A46ED"/>
    <w:rsid w:val="01B26B6A"/>
    <w:rsid w:val="01B90341"/>
    <w:rsid w:val="0256755B"/>
    <w:rsid w:val="03335C2A"/>
    <w:rsid w:val="03674BFD"/>
    <w:rsid w:val="04EE51E1"/>
    <w:rsid w:val="057F6DC9"/>
    <w:rsid w:val="05FC0525"/>
    <w:rsid w:val="066606B5"/>
    <w:rsid w:val="068A0826"/>
    <w:rsid w:val="06A12066"/>
    <w:rsid w:val="06B50CF4"/>
    <w:rsid w:val="06F15AA5"/>
    <w:rsid w:val="06F26A52"/>
    <w:rsid w:val="07042328"/>
    <w:rsid w:val="0769043A"/>
    <w:rsid w:val="07CC49EF"/>
    <w:rsid w:val="07EC0E00"/>
    <w:rsid w:val="08653D83"/>
    <w:rsid w:val="08687FE8"/>
    <w:rsid w:val="087E0120"/>
    <w:rsid w:val="0896622E"/>
    <w:rsid w:val="08F474F0"/>
    <w:rsid w:val="092B25A7"/>
    <w:rsid w:val="0A03317F"/>
    <w:rsid w:val="0A785072"/>
    <w:rsid w:val="0AA03A6A"/>
    <w:rsid w:val="0B405B48"/>
    <w:rsid w:val="0B662FA2"/>
    <w:rsid w:val="0BD33699"/>
    <w:rsid w:val="0BFA796C"/>
    <w:rsid w:val="0C645D46"/>
    <w:rsid w:val="0CE95B9C"/>
    <w:rsid w:val="0D15719F"/>
    <w:rsid w:val="0DD75CD7"/>
    <w:rsid w:val="0DD96203"/>
    <w:rsid w:val="0DF645D6"/>
    <w:rsid w:val="0E891C3F"/>
    <w:rsid w:val="0F235C39"/>
    <w:rsid w:val="0F9F5565"/>
    <w:rsid w:val="10163066"/>
    <w:rsid w:val="10BA26B1"/>
    <w:rsid w:val="1184131A"/>
    <w:rsid w:val="12502EAF"/>
    <w:rsid w:val="129B09C6"/>
    <w:rsid w:val="132E255A"/>
    <w:rsid w:val="135263BF"/>
    <w:rsid w:val="13BD51F5"/>
    <w:rsid w:val="1461070D"/>
    <w:rsid w:val="147E360B"/>
    <w:rsid w:val="153C64BA"/>
    <w:rsid w:val="157963D9"/>
    <w:rsid w:val="15F83511"/>
    <w:rsid w:val="16305833"/>
    <w:rsid w:val="17750C5C"/>
    <w:rsid w:val="17BF36B7"/>
    <w:rsid w:val="17F5270F"/>
    <w:rsid w:val="18163497"/>
    <w:rsid w:val="182F5406"/>
    <w:rsid w:val="188C192F"/>
    <w:rsid w:val="18EF58AD"/>
    <w:rsid w:val="19073968"/>
    <w:rsid w:val="19502AFF"/>
    <w:rsid w:val="199300AF"/>
    <w:rsid w:val="19A16EA7"/>
    <w:rsid w:val="1A0260A4"/>
    <w:rsid w:val="1A2B7D88"/>
    <w:rsid w:val="1A6C594D"/>
    <w:rsid w:val="1BFD42CF"/>
    <w:rsid w:val="1C3B14AF"/>
    <w:rsid w:val="1C4B35BE"/>
    <w:rsid w:val="1C4F52EF"/>
    <w:rsid w:val="1C704F28"/>
    <w:rsid w:val="1CCC6940"/>
    <w:rsid w:val="1D3F4C1D"/>
    <w:rsid w:val="1E0110E5"/>
    <w:rsid w:val="1EF108E0"/>
    <w:rsid w:val="1F8335DC"/>
    <w:rsid w:val="1FE87F57"/>
    <w:rsid w:val="20211783"/>
    <w:rsid w:val="20A94E3B"/>
    <w:rsid w:val="20B42DD1"/>
    <w:rsid w:val="20EE73C0"/>
    <w:rsid w:val="21544E6F"/>
    <w:rsid w:val="22BC059C"/>
    <w:rsid w:val="23A27A2D"/>
    <w:rsid w:val="23A54519"/>
    <w:rsid w:val="23FD107A"/>
    <w:rsid w:val="24294678"/>
    <w:rsid w:val="24335DE1"/>
    <w:rsid w:val="24441380"/>
    <w:rsid w:val="248D7F78"/>
    <w:rsid w:val="257D5525"/>
    <w:rsid w:val="25E1345C"/>
    <w:rsid w:val="26C678BB"/>
    <w:rsid w:val="287C746C"/>
    <w:rsid w:val="28870040"/>
    <w:rsid w:val="28F05023"/>
    <w:rsid w:val="2A0806F0"/>
    <w:rsid w:val="2A917854"/>
    <w:rsid w:val="2A9D2760"/>
    <w:rsid w:val="2B6E4399"/>
    <w:rsid w:val="2BB45BDB"/>
    <w:rsid w:val="2C1A2D7E"/>
    <w:rsid w:val="2CA22DAF"/>
    <w:rsid w:val="2E1F1D92"/>
    <w:rsid w:val="2E450300"/>
    <w:rsid w:val="2E6E3CFB"/>
    <w:rsid w:val="2EF75006"/>
    <w:rsid w:val="2F672FE4"/>
    <w:rsid w:val="2F8F217B"/>
    <w:rsid w:val="305F7063"/>
    <w:rsid w:val="31C13065"/>
    <w:rsid w:val="324352B2"/>
    <w:rsid w:val="324C3A75"/>
    <w:rsid w:val="32CC7242"/>
    <w:rsid w:val="32D978AB"/>
    <w:rsid w:val="32E8313F"/>
    <w:rsid w:val="331370FD"/>
    <w:rsid w:val="332A4F35"/>
    <w:rsid w:val="3361798A"/>
    <w:rsid w:val="33705E37"/>
    <w:rsid w:val="33752279"/>
    <w:rsid w:val="339733AC"/>
    <w:rsid w:val="33FA3596"/>
    <w:rsid w:val="3586796F"/>
    <w:rsid w:val="362D624A"/>
    <w:rsid w:val="36B96894"/>
    <w:rsid w:val="37B87607"/>
    <w:rsid w:val="37D6052D"/>
    <w:rsid w:val="37D85BE8"/>
    <w:rsid w:val="38222769"/>
    <w:rsid w:val="38315884"/>
    <w:rsid w:val="38992B7B"/>
    <w:rsid w:val="38A860EE"/>
    <w:rsid w:val="38BF587F"/>
    <w:rsid w:val="38DB5E6A"/>
    <w:rsid w:val="38F77569"/>
    <w:rsid w:val="39215F19"/>
    <w:rsid w:val="398176ED"/>
    <w:rsid w:val="39BA4298"/>
    <w:rsid w:val="39D52E79"/>
    <w:rsid w:val="3A395D69"/>
    <w:rsid w:val="3B125F80"/>
    <w:rsid w:val="3B277946"/>
    <w:rsid w:val="3B3123F1"/>
    <w:rsid w:val="3B641364"/>
    <w:rsid w:val="3B6E09EC"/>
    <w:rsid w:val="3C7F248C"/>
    <w:rsid w:val="3C9F237B"/>
    <w:rsid w:val="3CF411A1"/>
    <w:rsid w:val="3D202664"/>
    <w:rsid w:val="3DA467FB"/>
    <w:rsid w:val="3DB77087"/>
    <w:rsid w:val="3DED7156"/>
    <w:rsid w:val="3E130057"/>
    <w:rsid w:val="3E4C364F"/>
    <w:rsid w:val="3E6A360B"/>
    <w:rsid w:val="3EB33B92"/>
    <w:rsid w:val="3EC64414"/>
    <w:rsid w:val="3EF63D64"/>
    <w:rsid w:val="3F5C4843"/>
    <w:rsid w:val="3FA37195"/>
    <w:rsid w:val="40405E3B"/>
    <w:rsid w:val="404B17A6"/>
    <w:rsid w:val="411245E3"/>
    <w:rsid w:val="41EA4FEF"/>
    <w:rsid w:val="41F469B1"/>
    <w:rsid w:val="42C427A0"/>
    <w:rsid w:val="42FC76D0"/>
    <w:rsid w:val="435E78DE"/>
    <w:rsid w:val="43842335"/>
    <w:rsid w:val="43A318F9"/>
    <w:rsid w:val="43EC14F2"/>
    <w:rsid w:val="445659B0"/>
    <w:rsid w:val="44935E12"/>
    <w:rsid w:val="45736708"/>
    <w:rsid w:val="45D5142B"/>
    <w:rsid w:val="4609013B"/>
    <w:rsid w:val="462C207A"/>
    <w:rsid w:val="463F7FFF"/>
    <w:rsid w:val="469A6FFF"/>
    <w:rsid w:val="471224C5"/>
    <w:rsid w:val="471E7410"/>
    <w:rsid w:val="47354F5E"/>
    <w:rsid w:val="47F5494A"/>
    <w:rsid w:val="48115F68"/>
    <w:rsid w:val="489B2425"/>
    <w:rsid w:val="48E820C8"/>
    <w:rsid w:val="498A0BC3"/>
    <w:rsid w:val="4AF007F8"/>
    <w:rsid w:val="4B24535C"/>
    <w:rsid w:val="4BE15060"/>
    <w:rsid w:val="4BE43C8C"/>
    <w:rsid w:val="4CDB6454"/>
    <w:rsid w:val="4E11664B"/>
    <w:rsid w:val="4E1A08EA"/>
    <w:rsid w:val="4EB7011A"/>
    <w:rsid w:val="4F074935"/>
    <w:rsid w:val="4F134978"/>
    <w:rsid w:val="4F7234F7"/>
    <w:rsid w:val="4FA90838"/>
    <w:rsid w:val="4FDE63C3"/>
    <w:rsid w:val="507536B1"/>
    <w:rsid w:val="50C03040"/>
    <w:rsid w:val="50E10788"/>
    <w:rsid w:val="51C94D42"/>
    <w:rsid w:val="51FE0545"/>
    <w:rsid w:val="52B12D29"/>
    <w:rsid w:val="54212AF2"/>
    <w:rsid w:val="545A0383"/>
    <w:rsid w:val="54D73AF9"/>
    <w:rsid w:val="54DD7956"/>
    <w:rsid w:val="5550027A"/>
    <w:rsid w:val="55C6025A"/>
    <w:rsid w:val="56BE6D1E"/>
    <w:rsid w:val="56ED7603"/>
    <w:rsid w:val="571D53AA"/>
    <w:rsid w:val="571E0BC4"/>
    <w:rsid w:val="573D7F76"/>
    <w:rsid w:val="57621F92"/>
    <w:rsid w:val="579618BA"/>
    <w:rsid w:val="57D53C6D"/>
    <w:rsid w:val="585039A6"/>
    <w:rsid w:val="59084249"/>
    <w:rsid w:val="59190E8D"/>
    <w:rsid w:val="59647089"/>
    <w:rsid w:val="59931316"/>
    <w:rsid w:val="59C42947"/>
    <w:rsid w:val="59E74853"/>
    <w:rsid w:val="5A58103D"/>
    <w:rsid w:val="5B2D4472"/>
    <w:rsid w:val="5C3732C4"/>
    <w:rsid w:val="5C472134"/>
    <w:rsid w:val="5C4E3DCD"/>
    <w:rsid w:val="5E4F4DA4"/>
    <w:rsid w:val="5E66356A"/>
    <w:rsid w:val="5ED9637F"/>
    <w:rsid w:val="5FB07420"/>
    <w:rsid w:val="5FDC6929"/>
    <w:rsid w:val="5FE839B0"/>
    <w:rsid w:val="60E07590"/>
    <w:rsid w:val="61522F1D"/>
    <w:rsid w:val="6169308C"/>
    <w:rsid w:val="61DD1370"/>
    <w:rsid w:val="61EC126F"/>
    <w:rsid w:val="62D653F0"/>
    <w:rsid w:val="62F71E7D"/>
    <w:rsid w:val="6381360B"/>
    <w:rsid w:val="63880654"/>
    <w:rsid w:val="63C17B12"/>
    <w:rsid w:val="641C7936"/>
    <w:rsid w:val="64777168"/>
    <w:rsid w:val="64C46387"/>
    <w:rsid w:val="64E060B2"/>
    <w:rsid w:val="64F34037"/>
    <w:rsid w:val="655E414D"/>
    <w:rsid w:val="656A0D04"/>
    <w:rsid w:val="657E7021"/>
    <w:rsid w:val="65857C31"/>
    <w:rsid w:val="65DA1EBD"/>
    <w:rsid w:val="66113BA7"/>
    <w:rsid w:val="667A30A0"/>
    <w:rsid w:val="66B6356E"/>
    <w:rsid w:val="66BE1368"/>
    <w:rsid w:val="66FF394A"/>
    <w:rsid w:val="677438BF"/>
    <w:rsid w:val="67807895"/>
    <w:rsid w:val="68037730"/>
    <w:rsid w:val="685B6F6A"/>
    <w:rsid w:val="695F6F65"/>
    <w:rsid w:val="69AA21A7"/>
    <w:rsid w:val="69DF6BB5"/>
    <w:rsid w:val="69FE70C6"/>
    <w:rsid w:val="6A760A92"/>
    <w:rsid w:val="6AA359A4"/>
    <w:rsid w:val="6B453E44"/>
    <w:rsid w:val="6B4C2806"/>
    <w:rsid w:val="6B7C2659"/>
    <w:rsid w:val="6C0C3C30"/>
    <w:rsid w:val="6C857299"/>
    <w:rsid w:val="6CD01102"/>
    <w:rsid w:val="6D0112BB"/>
    <w:rsid w:val="6D8C23F7"/>
    <w:rsid w:val="6D8D74B3"/>
    <w:rsid w:val="6DA02882"/>
    <w:rsid w:val="6DDE33AA"/>
    <w:rsid w:val="6DF900B3"/>
    <w:rsid w:val="6E0248CE"/>
    <w:rsid w:val="6E557A70"/>
    <w:rsid w:val="6E5C1A07"/>
    <w:rsid w:val="6F0E6E46"/>
    <w:rsid w:val="6F1D4533"/>
    <w:rsid w:val="6F315D20"/>
    <w:rsid w:val="6F7445DF"/>
    <w:rsid w:val="6FF43359"/>
    <w:rsid w:val="7049196E"/>
    <w:rsid w:val="70566E86"/>
    <w:rsid w:val="707D17D1"/>
    <w:rsid w:val="709366CE"/>
    <w:rsid w:val="70A873BF"/>
    <w:rsid w:val="70E03ED9"/>
    <w:rsid w:val="71724856"/>
    <w:rsid w:val="72173B5C"/>
    <w:rsid w:val="722D7C1B"/>
    <w:rsid w:val="724E6D50"/>
    <w:rsid w:val="72CC2CF9"/>
    <w:rsid w:val="737D5D83"/>
    <w:rsid w:val="739954EF"/>
    <w:rsid w:val="73B07808"/>
    <w:rsid w:val="73E44139"/>
    <w:rsid w:val="7460508C"/>
    <w:rsid w:val="76030CDA"/>
    <w:rsid w:val="76085468"/>
    <w:rsid w:val="764C557E"/>
    <w:rsid w:val="765252BC"/>
    <w:rsid w:val="766F2CA2"/>
    <w:rsid w:val="77B27316"/>
    <w:rsid w:val="78297D28"/>
    <w:rsid w:val="78834FB7"/>
    <w:rsid w:val="7926617C"/>
    <w:rsid w:val="7955604B"/>
    <w:rsid w:val="79771F77"/>
    <w:rsid w:val="7A27440D"/>
    <w:rsid w:val="7A730227"/>
    <w:rsid w:val="7C42163F"/>
    <w:rsid w:val="7C8415C1"/>
    <w:rsid w:val="7D272C9D"/>
    <w:rsid w:val="7D802C56"/>
    <w:rsid w:val="7E152F02"/>
    <w:rsid w:val="7EBF079F"/>
    <w:rsid w:val="7ECD0961"/>
    <w:rsid w:val="7F4E06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7">
    <w:name w:val="heading 3"/>
    <w:basedOn w:val="1"/>
    <w:next w:val="1"/>
    <w:unhideWhenUsed/>
    <w:qFormat/>
    <w:uiPriority w:val="0"/>
    <w:pPr>
      <w:keepNext/>
      <w:keepLines/>
      <w:spacing w:beforeLines="0" w:beforeAutospacing="0" w:afterLines="0" w:afterAutospacing="0" w:line="360" w:lineRule="auto"/>
      <w:ind w:firstLine="1040" w:firstLineChars="200"/>
      <w:outlineLvl w:val="2"/>
    </w:pPr>
    <w:rPr>
      <w:rFonts w:ascii="Times New Roman" w:hAnsi="Times New Roman" w:eastAsia="黑体"/>
      <w:sz w:val="28"/>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customStyle="1" w:styleId="3">
    <w:name w:val="Normal (Web)1"/>
    <w:basedOn w:val="1"/>
    <w:next w:val="4"/>
    <w:qFormat/>
    <w:uiPriority w:val="0"/>
    <w:pPr>
      <w:widowControl/>
    </w:pPr>
    <w:rPr>
      <w:rFonts w:ascii="宋体" w:eastAsia="宋体" w:cs="Times New Roman"/>
      <w:sz w:val="24"/>
      <w:szCs w:val="21"/>
    </w:rPr>
  </w:style>
  <w:style w:type="paragraph" w:customStyle="1" w:styleId="4">
    <w:name w:val="Date1"/>
    <w:basedOn w:val="1"/>
    <w:next w:val="1"/>
    <w:qFormat/>
    <w:uiPriority w:val="0"/>
    <w:pPr>
      <w:autoSpaceDE w:val="0"/>
      <w:autoSpaceDN w:val="0"/>
      <w:adjustRightInd w:val="0"/>
      <w:textAlignment w:val="baseline"/>
    </w:pPr>
    <w:rPr>
      <w:rFonts w:ascii="宋体"/>
      <w:spacing w:val="5"/>
      <w:kern w:val="0"/>
      <w:sz w:val="24"/>
      <w:szCs w:val="20"/>
    </w:rPr>
  </w:style>
  <w:style w:type="paragraph" w:styleId="8">
    <w:name w:val="Normal Indent"/>
    <w:basedOn w:val="1"/>
    <w:qFormat/>
    <w:uiPriority w:val="0"/>
    <w:pPr>
      <w:spacing w:line="240" w:lineRule="auto"/>
      <w:ind w:firstLine="420"/>
    </w:pPr>
    <w:rPr>
      <w:sz w:val="21"/>
    </w:rPr>
  </w:style>
  <w:style w:type="paragraph" w:styleId="9">
    <w:name w:val="annotation text"/>
    <w:basedOn w:val="1"/>
    <w:qFormat/>
    <w:uiPriority w:val="99"/>
    <w:pPr>
      <w:jc w:val="left"/>
    </w:pPr>
    <w:rPr>
      <w:kern w:val="0"/>
      <w:sz w:val="24"/>
      <w:szCs w:val="20"/>
    </w:rPr>
  </w:style>
  <w:style w:type="paragraph" w:styleId="10">
    <w:name w:val="Body Text Indent"/>
    <w:basedOn w:val="1"/>
    <w:next w:val="11"/>
    <w:qFormat/>
    <w:uiPriority w:val="0"/>
    <w:pPr>
      <w:spacing w:after="120"/>
      <w:ind w:left="420" w:leftChars="200"/>
    </w:pPr>
    <w:rPr>
      <w:kern w:val="0"/>
      <w:sz w:val="24"/>
      <w:szCs w:val="20"/>
    </w:rPr>
  </w:style>
  <w:style w:type="paragraph" w:customStyle="1" w:styleId="11">
    <w:name w:val="样式 正文文本缩进 + 行距: 1.5 倍行距"/>
    <w:basedOn w:val="12"/>
    <w:qFormat/>
    <w:uiPriority w:val="0"/>
    <w:pPr>
      <w:snapToGrid/>
      <w:spacing w:before="0" w:after="120" w:line="360" w:lineRule="auto"/>
      <w:ind w:left="90" w:leftChars="32" w:firstLine="560" w:firstLineChars="200"/>
    </w:pPr>
    <w:rPr>
      <w:rFonts w:ascii="Times New Roman" w:eastAsia="宋体" w:cs="宋体"/>
    </w:rPr>
  </w:style>
  <w:style w:type="paragraph" w:customStyle="1" w:styleId="12">
    <w:name w:val="Body Text Indent"/>
    <w:basedOn w:val="1"/>
    <w:next w:val="11"/>
    <w:qFormat/>
    <w:uiPriority w:val="0"/>
    <w:pPr>
      <w:spacing w:after="120" w:afterLines="0"/>
      <w:ind w:left="420" w:leftChars="200"/>
    </w:pPr>
    <w:rPr>
      <w:rFonts w:ascii="Times New Roman" w:hAnsi="Times New Roman" w:eastAsia="宋体"/>
      <w:sz w:val="24"/>
    </w:rPr>
  </w:style>
  <w:style w:type="paragraph" w:styleId="13">
    <w:name w:val="List Bullet 2"/>
    <w:basedOn w:val="1"/>
    <w:next w:val="14"/>
    <w:qFormat/>
    <w:uiPriority w:val="0"/>
    <w:pPr>
      <w:numPr>
        <w:ilvl w:val="0"/>
        <w:numId w:val="1"/>
      </w:numPr>
    </w:pPr>
  </w:style>
  <w:style w:type="paragraph" w:customStyle="1" w:styleId="14">
    <w:name w:val="xl70"/>
    <w:basedOn w:val="1"/>
    <w:next w:val="15"/>
    <w:qFormat/>
    <w:uiPriority w:val="0"/>
    <w:pPr>
      <w:widowControl/>
      <w:spacing w:before="280" w:after="280" w:line="240" w:lineRule="auto"/>
    </w:pPr>
    <w:rPr>
      <w:rFonts w:ascii="宋体"/>
    </w:rPr>
  </w:style>
  <w:style w:type="paragraph" w:customStyle="1" w:styleId="15">
    <w:name w:val="正文缩进1"/>
    <w:basedOn w:val="1"/>
    <w:next w:val="16"/>
    <w:qFormat/>
    <w:uiPriority w:val="0"/>
    <w:pPr>
      <w:ind w:firstLine="420"/>
    </w:pPr>
    <w:rPr>
      <w:sz w:val="28"/>
      <w:szCs w:val="20"/>
    </w:rPr>
  </w:style>
  <w:style w:type="paragraph" w:customStyle="1" w:styleId="16">
    <w:name w:val="td1"/>
    <w:basedOn w:val="1"/>
    <w:next w:val="1"/>
    <w:qFormat/>
    <w:uiPriority w:val="0"/>
    <w:pPr>
      <w:widowControl/>
      <w:spacing w:before="280" w:after="280" w:line="300" w:lineRule="atLeast"/>
      <w:ind w:firstLine="200"/>
    </w:pPr>
    <w:rPr>
      <w:color w:val="000000"/>
      <w:sz w:val="18"/>
    </w:rPr>
  </w:style>
  <w:style w:type="paragraph" w:styleId="17">
    <w:name w:val="Plain Text"/>
    <w:basedOn w:val="1"/>
    <w:next w:val="1"/>
    <w:qFormat/>
    <w:uiPriority w:val="0"/>
    <w:pPr>
      <w:widowControl/>
      <w:spacing w:before="100" w:beforeAutospacing="1" w:after="100" w:afterAutospacing="1"/>
      <w:jc w:val="left"/>
    </w:pPr>
    <w:rPr>
      <w:rFonts w:ascii="宋体" w:hAnsi="宋体"/>
      <w:color w:val="000000"/>
      <w:kern w:val="0"/>
    </w:rPr>
  </w:style>
  <w:style w:type="paragraph" w:styleId="18">
    <w:name w:val="List Bullet 5"/>
    <w:basedOn w:val="1"/>
    <w:qFormat/>
    <w:uiPriority w:val="0"/>
    <w:pPr>
      <w:numPr>
        <w:ilvl w:val="0"/>
        <w:numId w:val="2"/>
      </w:numPr>
    </w:pPr>
  </w:style>
  <w:style w:type="paragraph" w:styleId="19">
    <w:name w:val="Body Text Indent 2"/>
    <w:basedOn w:val="1"/>
    <w:next w:val="1"/>
    <w:qFormat/>
    <w:uiPriority w:val="0"/>
    <w:pPr>
      <w:spacing w:after="120" w:line="480" w:lineRule="auto"/>
      <w:ind w:left="420" w:leftChars="200"/>
    </w:pPr>
    <w:rPr>
      <w:rFonts w:ascii="Calibri" w:hAnsi="Calibri"/>
      <w:szCs w:val="20"/>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uiPriority w:val="39"/>
  </w:style>
  <w:style w:type="paragraph" w:styleId="23">
    <w:name w:val="List"/>
    <w:basedOn w:val="1"/>
    <w:next w:val="13"/>
    <w:qFormat/>
    <w:uiPriority w:val="0"/>
    <w:pPr>
      <w:ind w:left="200" w:hanging="200" w:hangingChars="200"/>
    </w:pPr>
  </w:style>
  <w:style w:type="paragraph" w:styleId="24">
    <w:name w:val="toc 6"/>
    <w:basedOn w:val="1"/>
    <w:next w:val="1"/>
    <w:qFormat/>
    <w:uiPriority w:val="0"/>
    <w:pPr>
      <w:ind w:left="2100" w:leftChars="1000"/>
    </w:pPr>
  </w:style>
  <w:style w:type="paragraph" w:styleId="25">
    <w:name w:val="toc 2"/>
    <w:basedOn w:val="1"/>
    <w:next w:val="1"/>
    <w:unhideWhenUsed/>
    <w:qFormat/>
    <w:uiPriority w:val="39"/>
    <w:pPr>
      <w:widowControl/>
      <w:spacing w:after="100" w:afterLines="0" w:line="276" w:lineRule="auto"/>
      <w:ind w:left="220"/>
      <w:jc w:val="left"/>
    </w:pPr>
    <w:rPr>
      <w:rFonts w:ascii="Calibri" w:hAnsi="Calibri" w:eastAsia="宋体" w:cs="Times New Roman"/>
      <w:kern w:val="0"/>
      <w:sz w:val="22"/>
      <w:szCs w:val="22"/>
    </w:rPr>
  </w:style>
  <w:style w:type="paragraph" w:styleId="26">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7">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8">
    <w:name w:val="Title"/>
    <w:basedOn w:val="1"/>
    <w:next w:val="1"/>
    <w:qFormat/>
    <w:uiPriority w:val="0"/>
    <w:pPr>
      <w:spacing w:before="240" w:after="60"/>
      <w:jc w:val="center"/>
      <w:outlineLvl w:val="0"/>
    </w:pPr>
    <w:rPr>
      <w:rFonts w:ascii="等线 Light" w:hAnsi="等线 Light"/>
      <w:b/>
      <w:bCs/>
      <w:sz w:val="32"/>
      <w:szCs w:val="32"/>
    </w:rPr>
  </w:style>
  <w:style w:type="paragraph" w:styleId="29">
    <w:name w:val="Body Text First Indent"/>
    <w:basedOn w:val="2"/>
    <w:next w:val="30"/>
    <w:unhideWhenUsed/>
    <w:qFormat/>
    <w:uiPriority w:val="0"/>
    <w:pPr>
      <w:widowControl w:val="0"/>
      <w:snapToGrid/>
      <w:spacing w:before="0" w:after="120" w:line="240" w:lineRule="auto"/>
      <w:ind w:right="0" w:firstLine="420" w:firstLineChars="100"/>
    </w:pPr>
    <w:rPr>
      <w:kern w:val="2"/>
      <w:sz w:val="21"/>
      <w:szCs w:val="24"/>
    </w:rPr>
  </w:style>
  <w:style w:type="paragraph" w:customStyle="1" w:styleId="30">
    <w:name w:val="样式 正文首行缩进 + 首行缩进:  2 字符1"/>
    <w:basedOn w:val="1"/>
    <w:next w:val="22"/>
    <w:qFormat/>
    <w:uiPriority w:val="0"/>
    <w:pPr>
      <w:spacing w:line="360" w:lineRule="auto"/>
      <w:ind w:firstLine="480" w:firstLineChars="200"/>
    </w:pPr>
    <w:rPr>
      <w:sz w:val="24"/>
    </w:rPr>
  </w:style>
  <w:style w:type="paragraph" w:styleId="31">
    <w:name w:val="Body Text First Indent 2"/>
    <w:basedOn w:val="1"/>
    <w:next w:val="1"/>
    <w:qFormat/>
    <w:uiPriority w:val="0"/>
    <w:pPr>
      <w:spacing w:after="120" w:afterLines="0" w:line="240" w:lineRule="auto"/>
      <w:ind w:left="420" w:leftChars="200" w:firstLine="420" w:firstLineChars="200"/>
    </w:pPr>
    <w:rPr>
      <w:sz w:val="24"/>
      <w:szCs w:val="20"/>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basedOn w:val="34"/>
    <w:qFormat/>
    <w:uiPriority w:val="0"/>
  </w:style>
  <w:style w:type="character" w:styleId="36">
    <w:name w:val="Hyperlink"/>
    <w:basedOn w:val="34"/>
    <w:qFormat/>
    <w:uiPriority w:val="99"/>
    <w:rPr>
      <w:color w:val="0563C1" w:themeColor="hyperlink"/>
      <w:u w:val="single"/>
      <w14:textFill>
        <w14:solidFill>
          <w14:schemeClr w14:val="hlink"/>
        </w14:solidFill>
      </w14:textFill>
    </w:rPr>
  </w:style>
  <w:style w:type="paragraph" w:customStyle="1" w:styleId="37">
    <w:name w:val="Default"/>
    <w:basedOn w:val="38"/>
    <w:next w:val="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8">
    <w:name w:val="纯文本1"/>
    <w:basedOn w:val="1"/>
    <w:qFormat/>
    <w:uiPriority w:val="0"/>
    <w:pPr>
      <w:adjustRightInd w:val="0"/>
    </w:pPr>
    <w:rPr>
      <w:rFonts w:ascii="宋体" w:hAnsi="Courier New"/>
      <w:szCs w:val="20"/>
    </w:rPr>
  </w:style>
  <w:style w:type="paragraph" w:customStyle="1" w:styleId="39">
    <w:name w:val="11111"/>
    <w:basedOn w:val="1"/>
    <w:next w:val="1"/>
    <w:qFormat/>
    <w:uiPriority w:val="0"/>
    <w:pPr>
      <w:adjustRightInd/>
      <w:snapToGrid/>
      <w:ind w:firstLine="200"/>
    </w:pPr>
    <w:rPr>
      <w:rFonts w:ascii="宋体" w:hAnsi="宋体" w:cs="宋体"/>
      <w:kern w:val="0"/>
      <w:szCs w:val="20"/>
    </w:rPr>
  </w:style>
  <w:style w:type="paragraph" w:customStyle="1" w:styleId="40">
    <w:name w:val="【表中文字】"/>
    <w:basedOn w:val="1"/>
    <w:qFormat/>
    <w:uiPriority w:val="0"/>
    <w:pPr>
      <w:jc w:val="center"/>
    </w:pPr>
    <w:rPr>
      <w:rFonts w:ascii="Calibri" w:hAnsi="Calibri" w:cs="黑体"/>
      <w:kern w:val="0"/>
      <w:sz w:val="20"/>
      <w:szCs w:val="20"/>
    </w:rPr>
  </w:style>
  <w:style w:type="paragraph" w:customStyle="1" w:styleId="41">
    <w:name w:val="表格内"/>
    <w:basedOn w:val="23"/>
    <w:qFormat/>
    <w:uiPriority w:val="0"/>
    <w:pPr>
      <w:spacing w:line="360" w:lineRule="exact"/>
    </w:pPr>
    <w:rPr>
      <w:snapToGrid w:val="0"/>
      <w:kern w:val="0"/>
      <w:sz w:val="20"/>
      <w:szCs w:val="21"/>
    </w:rPr>
  </w:style>
  <w:style w:type="paragraph" w:customStyle="1" w:styleId="42">
    <w:name w:val="内容"/>
    <w:basedOn w:val="1"/>
    <w:qFormat/>
    <w:uiPriority w:val="0"/>
    <w:pPr>
      <w:spacing w:beforeLines="50" w:afterLines="50"/>
      <w:ind w:firstLine="200" w:firstLineChars="200"/>
    </w:pPr>
    <w:rPr>
      <w:color w:val="000000"/>
      <w:sz w:val="24"/>
    </w:rPr>
  </w:style>
  <w:style w:type="character" w:customStyle="1" w:styleId="43">
    <w:name w:val="NormalCharacter"/>
    <w:qFormat/>
    <w:uiPriority w:val="0"/>
    <w:rPr>
      <w:rFonts w:ascii="宋体"/>
      <w:sz w:val="24"/>
      <w:lang w:val="en-US" w:eastAsia="zh-CN" w:bidi="ar-SA"/>
    </w:rPr>
  </w:style>
  <w:style w:type="paragraph" w:styleId="44">
    <w:name w:val="List Paragraph"/>
    <w:basedOn w:val="1"/>
    <w:qFormat/>
    <w:uiPriority w:val="34"/>
    <w:pPr>
      <w:ind w:firstLine="420" w:firstLineChars="200"/>
    </w:pPr>
  </w:style>
  <w:style w:type="paragraph" w:customStyle="1" w:styleId="45">
    <w:name w:val="【正文】"/>
    <w:basedOn w:val="1"/>
    <w:next w:val="26"/>
    <w:qFormat/>
    <w:uiPriority w:val="0"/>
    <w:pPr>
      <w:spacing w:line="360" w:lineRule="auto"/>
      <w:ind w:firstLine="480" w:firstLineChars="200"/>
    </w:pPr>
    <w:rPr>
      <w:sz w:val="24"/>
    </w:rPr>
  </w:style>
  <w:style w:type="paragraph" w:customStyle="1" w:styleId="46">
    <w:name w:val="表格文字"/>
    <w:basedOn w:val="47"/>
    <w:next w:val="1"/>
    <w:qFormat/>
    <w:uiPriority w:val="0"/>
    <w:pPr>
      <w:jc w:val="center"/>
    </w:pPr>
    <w:rPr>
      <w:rFonts w:ascii="new times roma" w:hAnsi="new times roma"/>
    </w:rPr>
  </w:style>
  <w:style w:type="paragraph" w:customStyle="1" w:styleId="47">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48">
    <w:name w:val="表头"/>
    <w:basedOn w:val="49"/>
    <w:next w:val="17"/>
    <w:qFormat/>
    <w:uiPriority w:val="0"/>
    <w:rPr>
      <w:rFonts w:eastAsia="黑体"/>
      <w:lang w:val="en-US" w:eastAsia="zh-CN"/>
    </w:rPr>
  </w:style>
  <w:style w:type="paragraph" w:customStyle="1" w:styleId="49">
    <w:name w:val="样式4"/>
    <w:basedOn w:val="1"/>
    <w:qFormat/>
    <w:uiPriority w:val="0"/>
    <w:pPr>
      <w:adjustRightInd w:val="0"/>
      <w:snapToGrid w:val="0"/>
      <w:jc w:val="center"/>
    </w:pPr>
  </w:style>
  <w:style w:type="paragraph" w:customStyle="1" w:styleId="50">
    <w:name w:val="表中的文字"/>
    <w:basedOn w:val="28"/>
    <w:qFormat/>
    <w:uiPriority w:val="0"/>
    <w:pPr>
      <w:spacing w:before="0" w:after="0"/>
      <w:outlineLvl w:val="9"/>
    </w:pPr>
    <w:rPr>
      <w:rFonts w:ascii="Times New Roman" w:hAnsi="Times New Roman"/>
      <w:b w:val="0"/>
      <w:sz w:val="21"/>
      <w:szCs w:val="21"/>
    </w:rPr>
  </w:style>
  <w:style w:type="paragraph" w:customStyle="1" w:styleId="51">
    <w:name w:val="正"/>
    <w:basedOn w:val="1"/>
    <w:qFormat/>
    <w:uiPriority w:val="0"/>
    <w:pPr>
      <w:spacing w:beforeLines="25" w:afterLines="25" w:line="440" w:lineRule="exact"/>
      <w:ind w:firstLine="200" w:firstLineChars="200"/>
    </w:pPr>
    <w:rPr>
      <w:rFonts w:ascii="Calibri" w:hAnsi="Calibri" w:eastAsia="宋体"/>
      <w:szCs w:val="20"/>
    </w:rPr>
  </w:style>
  <w:style w:type="paragraph" w:customStyle="1" w:styleId="52">
    <w:name w:val="【表头】"/>
    <w:basedOn w:val="1"/>
    <w:next w:val="1"/>
    <w:qFormat/>
    <w:uiPriority w:val="0"/>
    <w:pPr>
      <w:spacing w:line="460" w:lineRule="exact"/>
      <w:jc w:val="center"/>
    </w:pPr>
    <w:rPr>
      <w:rFonts w:ascii="黑体" w:hAnsi="黑体" w:eastAsia="黑体"/>
      <w:kern w:val="0"/>
      <w:sz w:val="24"/>
      <w:szCs w:val="20"/>
    </w:rPr>
  </w:style>
  <w:style w:type="paragraph" w:customStyle="1" w:styleId="53">
    <w:name w:val="C首行缩进正文"/>
    <w:basedOn w:val="45"/>
    <w:qFormat/>
    <w:uiPriority w:val="0"/>
    <w:pPr>
      <w:ind w:firstLine="200"/>
    </w:pPr>
    <w:rPr>
      <w:rFonts w:cs="宋体"/>
      <w:color w:val="000000"/>
      <w:sz w:val="21"/>
    </w:rPr>
  </w:style>
  <w:style w:type="paragraph" w:customStyle="1" w:styleId="54">
    <w:name w:val="1黑体头"/>
    <w:basedOn w:val="1"/>
    <w:qFormat/>
    <w:uiPriority w:val="0"/>
    <w:pPr>
      <w:spacing w:line="360" w:lineRule="auto"/>
      <w:ind w:firstLine="479" w:firstLineChars="199"/>
      <w:jc w:val="left"/>
      <w:textAlignment w:val="center"/>
    </w:pPr>
    <w:rPr>
      <w:b/>
      <w:sz w:val="24"/>
    </w:rPr>
  </w:style>
  <w:style w:type="paragraph" w:customStyle="1" w:styleId="55">
    <w:name w:val="居中表格内容"/>
    <w:basedOn w:val="1"/>
    <w:qFormat/>
    <w:uiPriority w:val="0"/>
    <w:pPr>
      <w:jc w:val="center"/>
    </w:pPr>
    <w:rPr>
      <w:rFonts w:hint="eastAsia"/>
      <w:szCs w:val="20"/>
    </w:rPr>
  </w:style>
  <w:style w:type="paragraph" w:customStyle="1" w:styleId="56">
    <w:name w:val="表格标题"/>
    <w:basedOn w:val="57"/>
    <w:next w:val="57"/>
    <w:qFormat/>
    <w:uiPriority w:val="0"/>
    <w:pPr>
      <w:numPr>
        <w:ilvl w:val="0"/>
        <w:numId w:val="3"/>
      </w:numPr>
      <w:spacing w:line="240" w:lineRule="auto"/>
      <w:ind w:firstLineChars="0"/>
      <w:jc w:val="center"/>
    </w:pPr>
    <w:rPr>
      <w:rFonts w:ascii="Times New Roman" w:hAnsi="Times New Roman" w:eastAsia="宋体"/>
      <w:b/>
      <w:kern w:val="0"/>
      <w:sz w:val="21"/>
      <w:szCs w:val="20"/>
      <w:lang w:val="en-US"/>
    </w:rPr>
  </w:style>
  <w:style w:type="paragraph" w:customStyle="1" w:styleId="57">
    <w:name w:val="报告表正文"/>
    <w:basedOn w:val="1"/>
    <w:next w:val="1"/>
    <w:qFormat/>
    <w:uiPriority w:val="0"/>
    <w:pPr>
      <w:spacing w:line="360" w:lineRule="auto"/>
      <w:ind w:firstLine="420" w:firstLineChars="200"/>
    </w:pPr>
    <w:rPr>
      <w:rFonts w:cs="Times New Roman"/>
      <w:sz w:val="24"/>
      <w:szCs w:val="22"/>
      <w:lang w:val="zh-CN"/>
    </w:rPr>
  </w:style>
  <w:style w:type="paragraph" w:customStyle="1" w:styleId="58">
    <w:name w:val="首行缩进表格正文"/>
    <w:basedOn w:val="1"/>
    <w:qFormat/>
    <w:uiPriority w:val="0"/>
    <w:pPr>
      <w:spacing w:line="360" w:lineRule="auto"/>
      <w:ind w:firstLine="720" w:firstLineChars="200"/>
      <w:jc w:val="left"/>
    </w:pPr>
    <w:rPr>
      <w:rFonts w:ascii="Times New Roman" w:hAnsi="Times New Roman" w:eastAsia="宋体"/>
    </w:rPr>
  </w:style>
  <w:style w:type="paragraph" w:customStyle="1" w:styleId="59">
    <w:name w:val="表格题目"/>
    <w:basedOn w:val="1"/>
    <w:qFormat/>
    <w:uiPriority w:val="0"/>
    <w:pPr>
      <w:spacing w:line="240" w:lineRule="atLeast"/>
      <w:jc w:val="center"/>
    </w:pPr>
    <w:rPr>
      <w:rFonts w:ascii="黑体" w:hAnsi="宋体" w:eastAsia="黑体"/>
      <w:sz w:val="24"/>
    </w:rPr>
  </w:style>
  <w:style w:type="paragraph" w:customStyle="1" w:styleId="60">
    <w:name w:val="盂县"/>
    <w:basedOn w:val="1"/>
    <w:qFormat/>
    <w:uiPriority w:val="0"/>
    <w:pPr>
      <w:adjustRightInd w:val="0"/>
      <w:snapToGrid w:val="0"/>
      <w:spacing w:line="312" w:lineRule="auto"/>
      <w:ind w:firstLine="560" w:firstLineChars="200"/>
    </w:pPr>
    <w:rPr>
      <w:sz w:val="28"/>
    </w:rPr>
  </w:style>
  <w:style w:type="paragraph" w:customStyle="1" w:styleId="61">
    <w:name w:val="表头1"/>
    <w:basedOn w:val="48"/>
    <w:next w:val="1"/>
    <w:qFormat/>
    <w:uiPriority w:val="0"/>
    <w:pPr>
      <w:spacing w:line="240" w:lineRule="auto"/>
      <w:ind w:firstLine="0" w:firstLineChars="0"/>
    </w:pPr>
  </w:style>
  <w:style w:type="paragraph" w:customStyle="1" w:styleId="62">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3">
    <w:name w:val="【表中文字】-"/>
    <w:basedOn w:val="1"/>
    <w:qFormat/>
    <w:uiPriority w:val="0"/>
    <w:pPr>
      <w:widowControl/>
      <w:jc w:val="center"/>
    </w:pPr>
    <w:rPr>
      <w:kern w:val="0"/>
      <w:sz w:val="20"/>
      <w:szCs w:val="20"/>
    </w:rPr>
  </w:style>
  <w:style w:type="character" w:customStyle="1" w:styleId="64">
    <w:name w:val="正文文本 (2) Exact"/>
    <w:basedOn w:val="65"/>
    <w:unhideWhenUsed/>
    <w:qFormat/>
    <w:uiPriority w:val="99"/>
    <w:rPr>
      <w:rFonts w:hint="default" w:ascii="宋体" w:hAnsi="宋体" w:eastAsia="宋体"/>
      <w:sz w:val="22"/>
      <w:lang w:val="en-US" w:eastAsia="en-US"/>
    </w:rPr>
  </w:style>
  <w:style w:type="character" w:customStyle="1" w:styleId="65">
    <w:name w:val="正文文本 (2)_"/>
    <w:basedOn w:val="34"/>
    <w:link w:val="66"/>
    <w:unhideWhenUsed/>
    <w:qFormat/>
    <w:uiPriority w:val="99"/>
    <w:rPr>
      <w:rFonts w:hint="eastAsia" w:ascii="宋体" w:hAnsi="宋体" w:eastAsia="宋体"/>
      <w:sz w:val="22"/>
    </w:rPr>
  </w:style>
  <w:style w:type="paragraph" w:customStyle="1" w:styleId="66">
    <w:name w:val="正文文本 (2)"/>
    <w:basedOn w:val="1"/>
    <w:link w:val="65"/>
    <w:unhideWhenUsed/>
    <w:qFormat/>
    <w:uiPriority w:val="99"/>
    <w:pPr>
      <w:shd w:val="clear" w:color="auto" w:fill="FFFFFF"/>
      <w:spacing w:before="720" w:beforeLines="0" w:afterLines="0" w:line="499" w:lineRule="exact"/>
    </w:pPr>
    <w:rPr>
      <w:rFonts w:hint="eastAsia" w:ascii="宋体" w:hAnsi="宋体" w:eastAsia="宋体"/>
      <w:sz w:val="22"/>
    </w:rPr>
  </w:style>
  <w:style w:type="paragraph" w:customStyle="1" w:styleId="67">
    <w:name w:val="表头和图片"/>
    <w:basedOn w:val="17"/>
    <w:next w:val="1"/>
    <w:qFormat/>
    <w:uiPriority w:val="0"/>
    <w:pPr>
      <w:spacing w:line="480" w:lineRule="exact"/>
      <w:jc w:val="center"/>
    </w:pPr>
    <w:rPr>
      <w:rFonts w:ascii="Times New Roman" w:hAnsi="Times New Roman" w:eastAsia="黑体"/>
      <w:b/>
    </w:rPr>
  </w:style>
  <w:style w:type="paragraph" w:customStyle="1" w:styleId="68">
    <w:name w:val="样式 黑体 居中 行距: 1.5 倍行距"/>
    <w:basedOn w:val="1"/>
    <w:qFormat/>
    <w:uiPriority w:val="0"/>
    <w:pPr>
      <w:spacing w:line="360" w:lineRule="auto"/>
      <w:jc w:val="center"/>
    </w:pPr>
    <w:rPr>
      <w:rFonts w:ascii="黑体" w:hAnsi="黑体" w:eastAsia="黑体" w:cs="宋体"/>
    </w:rPr>
  </w:style>
  <w:style w:type="paragraph" w:customStyle="1" w:styleId="69">
    <w:name w:val="- 页码 -"/>
    <w:qFormat/>
    <w:uiPriority w:val="0"/>
    <w:pPr>
      <w:widowControl w:val="0"/>
      <w:spacing w:line="360" w:lineRule="auto"/>
      <w:ind w:firstLine="200" w:firstLineChars="200"/>
      <w:jc w:val="both"/>
    </w:pPr>
    <w:rPr>
      <w:rFonts w:ascii="Calibri" w:hAnsi="Calibri" w:eastAsia="宋体" w:cs="Times New Roman"/>
      <w:kern w:val="2"/>
      <w:sz w:val="24"/>
      <w:lang w:val="en-US" w:eastAsia="zh-CN" w:bidi="ar-SA"/>
    </w:rPr>
  </w:style>
  <w:style w:type="paragraph" w:customStyle="1" w:styleId="70">
    <w:name w:val="报告书正文"/>
    <w:basedOn w:val="1"/>
    <w:next w:val="71"/>
    <w:qFormat/>
    <w:uiPriority w:val="0"/>
    <w:pPr>
      <w:adjustRightInd w:val="0"/>
      <w:snapToGrid w:val="0"/>
      <w:spacing w:line="400" w:lineRule="atLeast"/>
      <w:ind w:firstLine="200" w:firstLineChars="200"/>
    </w:pPr>
    <w:rPr>
      <w:sz w:val="24"/>
    </w:rPr>
  </w:style>
  <w:style w:type="paragraph" w:customStyle="1" w:styleId="71">
    <w:name w:val="表名"/>
    <w:basedOn w:val="1"/>
    <w:next w:val="1"/>
    <w:qFormat/>
    <w:uiPriority w:val="0"/>
    <w:pPr>
      <w:overflowPunct w:val="0"/>
      <w:spacing w:before="120" w:beforeLines="0"/>
      <w:textAlignment w:val="baseline"/>
    </w:pPr>
    <w:rPr>
      <w:rFonts w:ascii="Arial" w:hAnsi="Arial" w:eastAsia="黑体"/>
      <w:kern w:val="0"/>
      <w:sz w:val="24"/>
      <w:szCs w:val="20"/>
    </w:rPr>
  </w:style>
  <w:style w:type="paragraph" w:customStyle="1" w:styleId="72">
    <w:name w:val="_Style 4"/>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73">
    <w:name w:val="表格正文"/>
    <w:basedOn w:val="1"/>
    <w:qFormat/>
    <w:uiPriority w:val="0"/>
    <w:pPr>
      <w:spacing w:line="360" w:lineRule="exact"/>
      <w:jc w:val="center"/>
    </w:pPr>
    <w:rPr>
      <w:szCs w:val="24"/>
    </w:rPr>
  </w:style>
  <w:style w:type="character" w:customStyle="1" w:styleId="74">
    <w:name w:val="font31"/>
    <w:qFormat/>
    <w:uiPriority w:val="0"/>
    <w:rPr>
      <w:rFonts w:hint="eastAsia" w:ascii="宋体" w:hAnsi="宋体" w:eastAsia="宋体"/>
      <w:color w:val="000000"/>
      <w:sz w:val="18"/>
      <w:szCs w:val="18"/>
      <w:u w:val="none"/>
    </w:rPr>
  </w:style>
  <w:style w:type="paragraph" w:customStyle="1" w:styleId="75">
    <w:name w:val="我的表格"/>
    <w:next w:val="1"/>
    <w:qFormat/>
    <w:uiPriority w:val="0"/>
    <w:pPr>
      <w:widowControl w:val="0"/>
      <w:adjustRightInd w:val="0"/>
      <w:snapToGrid w:val="0"/>
      <w:spacing w:before="10" w:beforeLines="10" w:after="10" w:afterLines="10" w:line="240" w:lineRule="atLeast"/>
      <w:jc w:val="center"/>
    </w:pPr>
    <w:rPr>
      <w:rFonts w:hint="eastAsia" w:ascii="Times New Roman" w:hAnsi="Times New Roman" w:eastAsia="宋体" w:cs="Times New Roman"/>
      <w:kern w:val="0"/>
      <w:sz w:val="21"/>
      <w:szCs w:val="20"/>
      <w:lang w:val="en-US" w:eastAsia="zh-CN" w:bidi="ar-SA"/>
    </w:rPr>
  </w:style>
  <w:style w:type="paragraph" w:customStyle="1" w:styleId="76">
    <w:name w:val="xl27"/>
    <w:qFormat/>
    <w:uiPriority w:val="0"/>
    <w:pPr>
      <w:widowControl/>
      <w:pBdr>
        <w:top w:val="double" w:color="auto" w:sz="6" w:space="0"/>
        <w:left w:val="single" w:color="auto" w:sz="4" w:space="0"/>
        <w:bottom w:val="single" w:color="auto" w:sz="4" w:space="0"/>
        <w:right w:val="single" w:color="auto" w:sz="4" w:space="0"/>
      </w:pBdr>
      <w:spacing w:before="100" w:beforeLines="0" w:beforeAutospacing="1" w:after="100" w:afterLines="0" w:afterAutospacing="1"/>
      <w:jc w:val="both"/>
    </w:pPr>
    <w:rPr>
      <w:rFonts w:hint="eastAsia" w:ascii="Arial Unicode MS" w:hAnsi="Arial Unicode MS" w:eastAsia="Arial Unicode MS" w:cs="Times New Roman"/>
      <w:kern w:val="0"/>
      <w:sz w:val="24"/>
      <w:szCs w:val="20"/>
      <w:lang w:val="en-US" w:eastAsia="zh-CN" w:bidi="ar-SA"/>
    </w:rPr>
  </w:style>
  <w:style w:type="paragraph" w:customStyle="1" w:styleId="77">
    <w:name w:val="填表样式"/>
    <w:qFormat/>
    <w:uiPriority w:val="0"/>
    <w:pPr>
      <w:widowControl w:val="0"/>
      <w:adjustRightInd w:val="0"/>
      <w:snapToGrid w:val="0"/>
      <w:spacing w:line="360" w:lineRule="auto"/>
      <w:ind w:firstLine="720" w:firstLineChars="200"/>
      <w:jc w:val="both"/>
    </w:pPr>
    <w:rPr>
      <w:rFonts w:hint="default" w:ascii="Times New Roman" w:hAnsi="Times New Roman" w:eastAsia="宋体" w:cs="Times New Roman"/>
      <w:kern w:val="2"/>
      <w:sz w:val="21"/>
      <w:szCs w:val="24"/>
      <w:lang w:val="en-US" w:eastAsia="zh-CN" w:bidi="ar-SA"/>
    </w:rPr>
  </w:style>
  <w:style w:type="paragraph" w:customStyle="1" w:styleId="78">
    <w:name w:val="正文----------------"/>
    <w:basedOn w:val="1"/>
    <w:qFormat/>
    <w:uiPriority w:val="0"/>
    <w:pPr>
      <w:spacing w:line="440" w:lineRule="exact"/>
      <w:ind w:firstLine="544" w:firstLineChars="200"/>
    </w:pPr>
    <w:rPr>
      <w:rFonts w:cs="宋体"/>
      <w:spacing w:val="16"/>
      <w:sz w:val="24"/>
    </w:rPr>
  </w:style>
  <w:style w:type="paragraph" w:customStyle="1" w:styleId="79">
    <w:name w:val="新正文"/>
    <w:basedOn w:val="1"/>
    <w:qFormat/>
    <w:uiPriority w:val="0"/>
    <w:pPr>
      <w:spacing w:line="500" w:lineRule="exact"/>
      <w:ind w:firstLine="200" w:firstLineChars="200"/>
    </w:pPr>
    <w:rPr>
      <w:rFonts w:ascii="宋体" w:hAnsi="宋体" w:eastAsia="宋体" w:cs="Times New Roman"/>
      <w:kern w:val="0"/>
      <w:sz w:val="24"/>
    </w:rPr>
  </w:style>
  <w:style w:type="paragraph" w:customStyle="1" w:styleId="80">
    <w:name w:val="正文文本缩进B"/>
    <w:basedOn w:val="10"/>
    <w:qFormat/>
    <w:uiPriority w:val="0"/>
    <w:pPr>
      <w:spacing w:after="0" w:line="360" w:lineRule="auto"/>
      <w:ind w:left="0" w:leftChars="0" w:firstLine="480" w:firstLineChars="200"/>
    </w:pPr>
    <w:rPr>
      <w:rFonts w:ascii="宋体" w:hAnsi="宋体" w:cstheme="minorBidi"/>
      <w:kern w:val="2"/>
      <w:szCs w:val="24"/>
    </w:rPr>
  </w:style>
  <w:style w:type="paragraph" w:customStyle="1" w:styleId="81">
    <w:name w:val="表中文字"/>
    <w:basedOn w:val="1"/>
    <w:qFormat/>
    <w:uiPriority w:val="0"/>
    <w:pPr>
      <w:jc w:val="center"/>
    </w:pPr>
    <w:rPr>
      <w:szCs w:val="20"/>
      <w:lang w:val="zh-CN"/>
    </w:rPr>
  </w:style>
  <w:style w:type="paragraph" w:customStyle="1" w:styleId="82">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83">
    <w:name w:val="1、大表格内"/>
    <w:basedOn w:val="1"/>
    <w:qFormat/>
    <w:uiPriority w:val="0"/>
    <w:pPr>
      <w:keepNext/>
      <w:keepLines/>
      <w:widowControl/>
      <w:autoSpaceDE w:val="0"/>
      <w:autoSpaceDN w:val="0"/>
      <w:adjustRightInd w:val="0"/>
      <w:spacing w:line="360" w:lineRule="auto"/>
      <w:ind w:firstLine="480" w:firstLineChars="200"/>
      <w:jc w:val="left"/>
      <w:textAlignment w:val="bottom"/>
    </w:pPr>
    <w:rPr>
      <w:kern w:val="0"/>
      <w:szCs w:val="20"/>
    </w:rPr>
  </w:style>
  <w:style w:type="paragraph" w:customStyle="1" w:styleId="84">
    <w:name w:val="表格内容"/>
    <w:basedOn w:val="85"/>
    <w:next w:val="1"/>
    <w:qFormat/>
    <w:uiPriority w:val="0"/>
    <w:pPr>
      <w:jc w:val="center"/>
    </w:pPr>
    <w:rPr>
      <w:bCs/>
      <w:color w:val="000000"/>
      <w:szCs w:val="21"/>
    </w:rPr>
  </w:style>
  <w:style w:type="paragraph" w:customStyle="1" w:styleId="85">
    <w:name w:val="封皮-证书编号"/>
    <w:basedOn w:val="1"/>
    <w:qFormat/>
    <w:uiPriority w:val="0"/>
    <w:pPr>
      <w:jc w:val="center"/>
    </w:pPr>
    <w:rPr>
      <w:rFonts w:eastAsia="黑体"/>
      <w:sz w:val="28"/>
    </w:rPr>
  </w:style>
  <w:style w:type="paragraph" w:customStyle="1" w:styleId="86">
    <w:name w:val="a正文"/>
    <w:basedOn w:val="1"/>
    <w:qFormat/>
    <w:uiPriority w:val="0"/>
    <w:pPr>
      <w:spacing w:line="520" w:lineRule="exact"/>
      <w:ind w:firstLine="561"/>
    </w:pPr>
    <w:rPr>
      <w:rFonts w:ascii="Times New Roman" w:hAnsi="Times New Roman"/>
      <w:sz w:val="28"/>
      <w:szCs w:val="20"/>
    </w:rPr>
  </w:style>
  <w:style w:type="paragraph" w:customStyle="1" w:styleId="87">
    <w:name w:val="正文1"/>
    <w:basedOn w:val="1"/>
    <w:qFormat/>
    <w:uiPriority w:val="0"/>
    <w:pPr>
      <w:spacing w:before="78" w:beforeLines="25" w:after="78" w:afterLines="25"/>
      <w:ind w:firstLine="480"/>
    </w:pPr>
  </w:style>
  <w:style w:type="paragraph" w:customStyle="1" w:styleId="88">
    <w:name w:val="正文6"/>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jpeg"/><Relationship Id="rId6" Type="http://schemas.openxmlformats.org/officeDocument/2006/relationships/footer" Target="footer4.xml"/><Relationship Id="rId59" Type="http://schemas.openxmlformats.org/officeDocument/2006/relationships/image" Target="media/image32.jpeg"/><Relationship Id="rId58" Type="http://schemas.openxmlformats.org/officeDocument/2006/relationships/image" Target="media/image31.jpeg"/><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image" Target="media/image30.wmf"/><Relationship Id="rId53" Type="http://schemas.openxmlformats.org/officeDocument/2006/relationships/oleObject" Target="embeddings/oleObject16.bin"/><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3.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wmf"/><Relationship Id="rId43" Type="http://schemas.openxmlformats.org/officeDocument/2006/relationships/oleObject" Target="embeddings/oleObject15.bin"/><Relationship Id="rId42" Type="http://schemas.openxmlformats.org/officeDocument/2006/relationships/image" Target="media/image20.wmf"/><Relationship Id="rId41" Type="http://schemas.openxmlformats.org/officeDocument/2006/relationships/oleObject" Target="embeddings/oleObject14.bin"/><Relationship Id="rId40" Type="http://schemas.openxmlformats.org/officeDocument/2006/relationships/image" Target="media/image19.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8.wmf"/><Relationship Id="rId37" Type="http://schemas.openxmlformats.org/officeDocument/2006/relationships/oleObject" Target="embeddings/oleObject12.bin"/><Relationship Id="rId36" Type="http://schemas.openxmlformats.org/officeDocument/2006/relationships/image" Target="media/image17.wmf"/><Relationship Id="rId35" Type="http://schemas.openxmlformats.org/officeDocument/2006/relationships/oleObject" Target="embeddings/oleObject11.bin"/><Relationship Id="rId34" Type="http://schemas.openxmlformats.org/officeDocument/2006/relationships/image" Target="media/image16.jpeg"/><Relationship Id="rId33" Type="http://schemas.openxmlformats.org/officeDocument/2006/relationships/image" Target="media/image15.wmf"/><Relationship Id="rId32" Type="http://schemas.openxmlformats.org/officeDocument/2006/relationships/oleObject" Target="embeddings/oleObject10.bin"/><Relationship Id="rId31" Type="http://schemas.openxmlformats.org/officeDocument/2006/relationships/image" Target="media/image14.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oleObject" Target="embeddings/oleObject6.bin"/><Relationship Id="rId22" Type="http://schemas.openxmlformats.org/officeDocument/2006/relationships/image" Target="media/image9.wmf"/><Relationship Id="rId21" Type="http://schemas.openxmlformats.org/officeDocument/2006/relationships/oleObject" Target="embeddings/oleObject5.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4.bin"/><Relationship Id="rId17" Type="http://schemas.openxmlformats.org/officeDocument/2006/relationships/image" Target="media/image6.wmf"/><Relationship Id="rId16" Type="http://schemas.openxmlformats.org/officeDocument/2006/relationships/oleObject" Target="embeddings/oleObject3.bin"/><Relationship Id="rId15" Type="http://schemas.openxmlformats.org/officeDocument/2006/relationships/image" Target="media/image5.wmf"/><Relationship Id="rId14" Type="http://schemas.openxmlformats.org/officeDocument/2006/relationships/oleObject" Target="embeddings/oleObject2.bin"/><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28594</Words>
  <Characters>34365</Characters>
  <Lines>0</Lines>
  <Paragraphs>0</Paragraphs>
  <TotalTime>8</TotalTime>
  <ScaleCrop>false</ScaleCrop>
  <LinksUpToDate>false</LinksUpToDate>
  <CharactersWithSpaces>34600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2022-08-17T03:09:00Z</dcterms:created>
  <dc:creator>夏天那抹蓝╮</dc:creator>
  <cp:lastModifiedBy>Cinderella</cp:lastModifiedBy>
  <cp:lastPrinted>2023-02-15T07:11:00Z</cp:lastPrinted>
  <dcterms:modified xsi:type="dcterms:W3CDTF">2023-08-29T06:23:50Z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5F81B2FFB6804719BC56356C8FB96ABE</vt:lpwstr>
  </property>
</Properties>
</file>